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327A0E" w:rsidRDefault="003522AD" w:rsidP="003522AD">
      <w:pPr>
        <w:pStyle w:val="CRCoverPage"/>
        <w:tabs>
          <w:tab w:val="right" w:pos="9639"/>
        </w:tabs>
        <w:rPr>
          <w:b/>
          <w:noProof/>
          <w:sz w:val="28"/>
          <w:lang w:eastAsia="zh-CN"/>
        </w:rPr>
      </w:pPr>
      <w:r w:rsidRPr="00327A0E">
        <w:rPr>
          <w:b/>
          <w:noProof/>
          <w:sz w:val="24"/>
        </w:rPr>
        <w:t>3GPP TSG-</w:t>
      </w:r>
      <w:r w:rsidRPr="00327A0E">
        <w:rPr>
          <w:rFonts w:hint="eastAsia"/>
          <w:b/>
          <w:noProof/>
          <w:sz w:val="24"/>
          <w:lang w:eastAsia="zh-CN"/>
        </w:rPr>
        <w:t>RAN WG1</w:t>
      </w:r>
      <w:r w:rsidRPr="00327A0E">
        <w:rPr>
          <w:b/>
          <w:noProof/>
          <w:sz w:val="24"/>
        </w:rPr>
        <w:t xml:space="preserve"> Meeting #</w:t>
      </w:r>
      <w:r w:rsidRPr="00327A0E">
        <w:rPr>
          <w:rFonts w:hint="eastAsia"/>
          <w:b/>
          <w:noProof/>
          <w:sz w:val="24"/>
          <w:lang w:eastAsia="zh-CN"/>
        </w:rPr>
        <w:t>8</w:t>
      </w:r>
      <w:r w:rsidR="00D4433B">
        <w:rPr>
          <w:b/>
          <w:noProof/>
          <w:sz w:val="24"/>
          <w:lang w:eastAsia="zh-CN"/>
        </w:rPr>
        <w:t>7</w:t>
      </w:r>
      <w:r w:rsidRPr="00327A0E">
        <w:rPr>
          <w:b/>
          <w:noProof/>
          <w:sz w:val="24"/>
        </w:rPr>
        <w:t xml:space="preserve"> </w:t>
      </w:r>
      <w:r w:rsidRPr="00327A0E">
        <w:rPr>
          <w:b/>
          <w:noProof/>
          <w:sz w:val="28"/>
        </w:rPr>
        <w:tab/>
      </w:r>
      <w:r w:rsidR="00327A0E" w:rsidRPr="00327A0E">
        <w:rPr>
          <w:b/>
          <w:noProof/>
          <w:sz w:val="28"/>
        </w:rPr>
        <w:t>R1-16</w:t>
      </w:r>
      <w:r w:rsidR="00D4433B">
        <w:rPr>
          <w:b/>
          <w:noProof/>
          <w:sz w:val="28"/>
        </w:rPr>
        <w:t>1</w:t>
      </w:r>
      <w:r w:rsidR="00E370D4">
        <w:rPr>
          <w:rFonts w:eastAsiaTheme="minorEastAsia"/>
          <w:b/>
          <w:noProof/>
          <w:sz w:val="28"/>
          <w:lang w:eastAsia="ja-JP"/>
        </w:rPr>
        <w:t>3715</w:t>
      </w:r>
    </w:p>
    <w:p w:rsidR="003522AD" w:rsidRPr="001D6249" w:rsidRDefault="00D4433B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Reno, NV, USA</w:t>
      </w:r>
      <w:r w:rsidR="003522AD" w:rsidRPr="001D6249">
        <w:rPr>
          <w:rFonts w:cs="Arial"/>
          <w:bCs/>
          <w:sz w:val="22"/>
          <w:lang w:eastAsia="ja-JP"/>
        </w:rPr>
        <w:t xml:space="preserve">,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4</w:t>
      </w:r>
      <w:r w:rsidR="003522AD" w:rsidRPr="0093628B">
        <w:rPr>
          <w:rFonts w:cs="Arial"/>
          <w:bCs/>
          <w:sz w:val="22"/>
          <w:vertAlign w:val="superscript"/>
          <w:lang w:eastAsia="ja-JP"/>
        </w:rPr>
        <w:t>th</w:t>
      </w:r>
      <w:r w:rsidR="003522AD">
        <w:rPr>
          <w:rFonts w:cs="Arial"/>
          <w:bCs/>
          <w:sz w:val="22"/>
          <w:lang w:eastAsia="ja-JP"/>
        </w:rPr>
        <w:t xml:space="preserve"> </w:t>
      </w:r>
      <w:r w:rsidR="003522AD" w:rsidRPr="001D6249">
        <w:rPr>
          <w:rFonts w:cs="Arial"/>
          <w:bCs/>
          <w:sz w:val="22"/>
          <w:lang w:eastAsia="ja-JP"/>
        </w:rPr>
        <w:t xml:space="preserve">– </w:t>
      </w:r>
      <w:r w:rsidR="003522AD">
        <w:rPr>
          <w:rFonts w:cs="Arial"/>
          <w:bCs/>
          <w:sz w:val="22"/>
          <w:lang w:eastAsia="ja-JP"/>
        </w:rPr>
        <w:t>1</w:t>
      </w:r>
      <w:r>
        <w:rPr>
          <w:rFonts w:cs="Arial"/>
          <w:bCs/>
          <w:sz w:val="22"/>
          <w:lang w:eastAsia="ja-JP"/>
        </w:rPr>
        <w:t>8</w:t>
      </w:r>
      <w:r w:rsidR="003522AD" w:rsidRPr="001D6249">
        <w:rPr>
          <w:rFonts w:cs="Arial"/>
          <w:bCs/>
          <w:sz w:val="22"/>
          <w:vertAlign w:val="superscript"/>
          <w:lang w:eastAsia="ja-JP"/>
        </w:rPr>
        <w:t>th</w:t>
      </w:r>
      <w:r w:rsidR="003522AD" w:rsidRPr="001D6249">
        <w:rPr>
          <w:rFonts w:cs="Arial"/>
          <w:bCs/>
          <w:sz w:val="22"/>
          <w:lang w:eastAsia="ja-JP"/>
        </w:rPr>
        <w:t xml:space="preserve"> </w:t>
      </w:r>
      <w:r>
        <w:rPr>
          <w:rFonts w:cs="Arial"/>
          <w:bCs/>
          <w:sz w:val="22"/>
          <w:lang w:eastAsia="ja-JP"/>
        </w:rPr>
        <w:t>Nov</w:t>
      </w:r>
      <w:r w:rsidR="003522AD" w:rsidRPr="001D6249">
        <w:rPr>
          <w:rFonts w:cs="Arial"/>
          <w:bCs/>
          <w:sz w:val="22"/>
          <w:lang w:eastAsia="ja-JP"/>
        </w:rPr>
        <w:t xml:space="preserve"> 2016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560938">
        <w:rPr>
          <w:rFonts w:ascii="Arial" w:hAnsi="Arial" w:hint="eastAsia"/>
          <w:b/>
          <w:kern w:val="0"/>
          <w:sz w:val="24"/>
          <w:szCs w:val="22"/>
          <w:lang w:val="en-GB"/>
        </w:rPr>
        <w:t>6.1.6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0B3D29" w:rsidRPr="000B3D29">
        <w:rPr>
          <w:rFonts w:ascii="Arial" w:hAnsi="Arial"/>
          <w:b/>
          <w:kern w:val="0"/>
          <w:sz w:val="24"/>
          <w:szCs w:val="22"/>
          <w:lang w:val="en-GB" w:eastAsia="en-US"/>
        </w:rPr>
        <w:t>Offline discussion summary on NB-</w:t>
      </w:r>
      <w:proofErr w:type="spellStart"/>
      <w:r w:rsidR="000B3D29" w:rsidRPr="000B3D29">
        <w:rPr>
          <w:rFonts w:ascii="Arial" w:hAnsi="Arial"/>
          <w:b/>
          <w:kern w:val="0"/>
          <w:sz w:val="24"/>
          <w:szCs w:val="22"/>
          <w:lang w:val="en-GB" w:eastAsia="en-US"/>
        </w:rPr>
        <w:t>IoT</w:t>
      </w:r>
      <w:proofErr w:type="spellEnd"/>
      <w:r w:rsidR="000B3D29" w:rsidRPr="000B3D29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baseband signal generation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5F4DBA" w:rsidP="0034159C">
      <w:pPr>
        <w:pStyle w:val="1"/>
      </w:pPr>
      <w:r>
        <w:t>Introduction</w:t>
      </w:r>
    </w:p>
    <w:p w:rsidR="005F4DBA" w:rsidRDefault="005F4DBA" w:rsidP="005F4DBA">
      <w:pPr>
        <w:spacing w:after="120"/>
        <w:rPr>
          <w:lang w:val="en-GB" w:eastAsia="en-US"/>
        </w:rPr>
      </w:pPr>
      <w:r>
        <w:rPr>
          <w:lang w:val="en-GB" w:eastAsia="en-US"/>
        </w:rPr>
        <w:t xml:space="preserve">This contribution summarizes the offline discussion on </w:t>
      </w:r>
      <w:r w:rsidR="005F2C0C">
        <w:rPr>
          <w:lang w:val="en-GB" w:eastAsia="en-US"/>
        </w:rPr>
        <w:t xml:space="preserve">concern on </w:t>
      </w:r>
      <w:r w:rsidRPr="005F4DBA">
        <w:rPr>
          <w:lang w:val="en-GB" w:eastAsia="en-US"/>
        </w:rPr>
        <w:t xml:space="preserve">OFDM baseband signal generation </w:t>
      </w:r>
      <w:r w:rsidR="005F2C0C">
        <w:rPr>
          <w:lang w:val="en-GB" w:eastAsia="en-US"/>
        </w:rPr>
        <w:t>of</w:t>
      </w:r>
      <w:r w:rsidR="00CE7999">
        <w:rPr>
          <w:lang w:val="en-GB" w:eastAsia="en-US"/>
        </w:rPr>
        <w:t xml:space="preserve"> NB-</w:t>
      </w:r>
      <w:proofErr w:type="spellStart"/>
      <w:r w:rsidR="00CE7999">
        <w:rPr>
          <w:lang w:val="en-GB" w:eastAsia="en-US"/>
        </w:rPr>
        <w:t>IoT</w:t>
      </w:r>
      <w:proofErr w:type="spellEnd"/>
      <w:r w:rsidR="00CE7999">
        <w:rPr>
          <w:lang w:val="en-GB" w:eastAsia="en-US"/>
        </w:rPr>
        <w:t xml:space="preserve"> </w:t>
      </w:r>
      <w:r w:rsidR="005F2C0C">
        <w:rPr>
          <w:lang w:val="en-GB" w:eastAsia="en-US"/>
        </w:rPr>
        <w:t xml:space="preserve">DL </w:t>
      </w:r>
      <w:r w:rsidR="00F554BA">
        <w:rPr>
          <w:lang w:val="en-GB" w:eastAsia="en-US"/>
        </w:rPr>
        <w:t>raised by Ericsson</w:t>
      </w:r>
      <w:r w:rsidR="00FC382A">
        <w:rPr>
          <w:lang w:val="en-GB" w:eastAsia="en-US"/>
        </w:rPr>
        <w:t xml:space="preserve"> on line.</w:t>
      </w:r>
    </w:p>
    <w:p w:rsidR="005F4DBA" w:rsidRPr="003522AD" w:rsidRDefault="005F4DBA" w:rsidP="005F4DBA">
      <w:pPr>
        <w:pStyle w:val="1"/>
      </w:pPr>
      <w:r>
        <w:t>Discussion</w:t>
      </w:r>
    </w:p>
    <w:p w:rsidR="00201C4F" w:rsidRDefault="00F554BA" w:rsidP="000060F7">
      <w:pPr>
        <w:spacing w:afterLines="0" w:after="0" w:line="264" w:lineRule="auto"/>
        <w:jc w:val="left"/>
      </w:pPr>
      <w:r>
        <w:t xml:space="preserve">Table 1 </w:t>
      </w:r>
      <w:r w:rsidR="00CE7999">
        <w:t>shows interpretation of current specification</w:t>
      </w:r>
      <w:r>
        <w:t xml:space="preserve"> provided by Ericsson offline </w:t>
      </w:r>
      <w:r w:rsidR="00440530">
        <w:t>with</w:t>
      </w:r>
      <w:r>
        <w:t xml:space="preserve"> </w:t>
      </w:r>
      <w:r w:rsidR="00440530">
        <w:t>further clarification made</w:t>
      </w:r>
      <w:r>
        <w:t xml:space="preserve"> by DOCOMO.</w:t>
      </w:r>
    </w:p>
    <w:p w:rsidR="00FC382A" w:rsidRDefault="00FC382A" w:rsidP="000060F7">
      <w:pPr>
        <w:spacing w:afterLines="0" w:after="0" w:line="264" w:lineRule="auto"/>
        <w:jc w:val="left"/>
      </w:pPr>
    </w:p>
    <w:p w:rsidR="00F554BA" w:rsidRDefault="00F554BA" w:rsidP="000060F7">
      <w:pPr>
        <w:spacing w:afterLines="0" w:after="0" w:line="264" w:lineRule="auto"/>
        <w:jc w:val="left"/>
      </w:pPr>
      <w:r>
        <w:t xml:space="preserve">The </w:t>
      </w:r>
      <w:r w:rsidR="00FC382A">
        <w:t xml:space="preserve">two </w:t>
      </w:r>
      <w:r>
        <w:t>case</w:t>
      </w:r>
      <w:r w:rsidR="00FC382A">
        <w:t>s</w:t>
      </w:r>
      <w:r>
        <w:t xml:space="preserve"> highlighted in yellow </w:t>
      </w:r>
      <w:r w:rsidR="00E55DFA">
        <w:t xml:space="preserve">in Table 1 </w:t>
      </w:r>
      <w:r>
        <w:t xml:space="preserve">will use definition B </w:t>
      </w:r>
      <w:r w:rsidR="00FC382A">
        <w:t xml:space="preserve">according to the spec [1] </w:t>
      </w:r>
      <w:r>
        <w:t xml:space="preserve">(see Annex for definition A / B). However, as </w:t>
      </w:r>
      <w:r w:rsidR="0077469A">
        <w:t xml:space="preserve">commented in </w:t>
      </w:r>
      <w:r w:rsidR="00FC382A">
        <w:t>Table</w:t>
      </w:r>
      <w:r w:rsidR="0077469A">
        <w:t xml:space="preserve"> 1</w:t>
      </w:r>
      <w:r>
        <w:t>, definition B does not cover guard-band subcarriers</w:t>
      </w:r>
      <w:r w:rsidR="00CE7999">
        <w:t xml:space="preserve"> (see note 2 of Table 1)</w:t>
      </w:r>
      <w:r w:rsidR="00FC382A">
        <w:t>.</w:t>
      </w:r>
      <w:r w:rsidR="0007704A">
        <w:t xml:space="preserve"> So definition A should be used.</w:t>
      </w:r>
    </w:p>
    <w:p w:rsidR="00971145" w:rsidRDefault="00971145" w:rsidP="000060F7">
      <w:pPr>
        <w:spacing w:afterLines="0" w:after="0" w:line="264" w:lineRule="auto"/>
        <w:jc w:val="left"/>
      </w:pPr>
    </w:p>
    <w:p w:rsidR="0023232D" w:rsidRPr="004A0702" w:rsidRDefault="0023232D" w:rsidP="000060F7">
      <w:pPr>
        <w:spacing w:afterLines="0" w:after="0" w:line="264" w:lineRule="auto"/>
        <w:jc w:val="left"/>
        <w:rPr>
          <w:lang w:eastAsia="en-US"/>
        </w:rPr>
      </w:pPr>
      <w:r>
        <w:t xml:space="preserve">Table </w:t>
      </w:r>
      <w:r w:rsidR="00F554BA">
        <w:t>1</w:t>
      </w:r>
      <w:r>
        <w:t xml:space="preserve">: </w:t>
      </w:r>
    </w:p>
    <w:tbl>
      <w:tblPr>
        <w:tblW w:w="9889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"/>
        <w:gridCol w:w="1603"/>
        <w:gridCol w:w="945"/>
        <w:gridCol w:w="1529"/>
        <w:gridCol w:w="713"/>
        <w:gridCol w:w="732"/>
        <w:gridCol w:w="752"/>
        <w:gridCol w:w="921"/>
        <w:gridCol w:w="1678"/>
      </w:tblGrid>
      <w:tr w:rsidR="0023232D" w:rsidTr="0023232D">
        <w:trPr>
          <w:trHeight w:val="383"/>
        </w:trPr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kern w:val="0"/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Anchor carrier</w:t>
            </w:r>
          </w:p>
        </w:tc>
        <w:tc>
          <w:tcPr>
            <w:tcW w:w="16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rPr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MIB</w:t>
            </w:r>
            <w:r>
              <w:rPr>
                <w:b/>
                <w:bCs/>
                <w:sz w:val="16"/>
                <w:szCs w:val="16"/>
              </w:rPr>
              <w:t>-NB</w:t>
            </w:r>
            <w:r w:rsidRPr="00122ABF">
              <w:rPr>
                <w:b/>
                <w:bCs/>
                <w:sz w:val="16"/>
                <w:szCs w:val="16"/>
              </w:rPr>
              <w:t>:</w:t>
            </w:r>
          </w:p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operationModeInfo-r13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Non-Anchor carrier</w:t>
            </w:r>
          </w:p>
        </w:tc>
        <w:tc>
          <w:tcPr>
            <w:tcW w:w="152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E75406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E75406">
              <w:rPr>
                <w:b/>
                <w:bCs/>
                <w:sz w:val="16"/>
                <w:szCs w:val="16"/>
              </w:rPr>
              <w:t xml:space="preserve">NB RRC dedicated </w:t>
            </w:r>
            <w:proofErr w:type="spellStart"/>
            <w:r w:rsidRPr="00E75406">
              <w:rPr>
                <w:b/>
                <w:bCs/>
                <w:sz w:val="16"/>
                <w:szCs w:val="16"/>
              </w:rPr>
              <w:t>signalling</w:t>
            </w:r>
            <w:proofErr w:type="spellEnd"/>
            <w:r w:rsidRPr="00E75406">
              <w:rPr>
                <w:b/>
                <w:bCs/>
                <w:sz w:val="16"/>
                <w:szCs w:val="16"/>
              </w:rPr>
              <w:t>:</w:t>
            </w:r>
          </w:p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b/>
                <w:bCs/>
                <w:sz w:val="16"/>
                <w:szCs w:val="16"/>
              </w:rPr>
              <w:t>inbandCarrierInfo</w:t>
            </w:r>
            <w:proofErr w:type="spellEnd"/>
            <w:r w:rsidRPr="00122ABF">
              <w:rPr>
                <w:b/>
                <w:bCs/>
                <w:sz w:val="16"/>
                <w:szCs w:val="16"/>
              </w:rPr>
              <w:t>:</w:t>
            </w:r>
            <w:r w:rsidRPr="00122ABF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122ABF">
              <w:rPr>
                <w:b/>
                <w:bCs/>
                <w:sz w:val="16"/>
                <w:szCs w:val="16"/>
              </w:rPr>
              <w:t>samePCI</w:t>
            </w:r>
            <w:proofErr w:type="spellEnd"/>
            <w:r w:rsidRPr="00122ABF">
              <w:rPr>
                <w:b/>
                <w:bCs/>
                <w:sz w:val="16"/>
                <w:szCs w:val="16"/>
              </w:rPr>
              <w:t>-Indicator</w:t>
            </w:r>
          </w:p>
        </w:tc>
        <w:tc>
          <w:tcPr>
            <w:tcW w:w="14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232D" w:rsidRPr="00122ABF" w:rsidRDefault="0023232D" w:rsidP="0023232D">
            <w:pPr>
              <w:spacing w:afterLines="0" w:after="0"/>
              <w:jc w:val="center"/>
              <w:rPr>
                <w:b/>
                <w:bCs/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Anch</w:t>
            </w:r>
            <w:r>
              <w:rPr>
                <w:b/>
                <w:bCs/>
                <w:sz w:val="16"/>
                <w:szCs w:val="16"/>
              </w:rPr>
              <w:t>or carrier baseband definition</w:t>
            </w:r>
          </w:p>
        </w:tc>
        <w:tc>
          <w:tcPr>
            <w:tcW w:w="16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3232D" w:rsidRPr="00122ABF" w:rsidRDefault="0023232D" w:rsidP="0023232D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Non-Ancho</w:t>
            </w:r>
            <w:r>
              <w:rPr>
                <w:b/>
                <w:bCs/>
                <w:sz w:val="16"/>
                <w:szCs w:val="16"/>
              </w:rPr>
              <w:t>r carrier base band definition</w:t>
            </w:r>
          </w:p>
        </w:tc>
        <w:tc>
          <w:tcPr>
            <w:tcW w:w="167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F554BA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Comment</w:t>
            </w:r>
          </w:p>
        </w:tc>
      </w:tr>
      <w:tr w:rsidR="0023232D" w:rsidTr="0023232D">
        <w:trPr>
          <w:trHeight w:val="429"/>
        </w:trPr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2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left"/>
              <w:rPr>
                <w:b/>
                <w:bCs/>
                <w:strike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3232D" w:rsidRPr="00122ABF" w:rsidRDefault="0023232D" w:rsidP="0023232D">
            <w:pPr>
              <w:spacing w:afterLines="0" w:after="0"/>
              <w:jc w:val="center"/>
              <w:rPr>
                <w:b/>
                <w:bCs/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correct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232D" w:rsidRPr="00122ABF" w:rsidRDefault="0023232D" w:rsidP="0023232D">
            <w:pPr>
              <w:spacing w:afterLines="0" w:after="0"/>
              <w:jc w:val="center"/>
              <w:rPr>
                <w:b/>
                <w:bCs/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current spec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3232D" w:rsidRPr="00122ABF" w:rsidRDefault="0023232D" w:rsidP="0023232D">
            <w:pPr>
              <w:spacing w:afterLines="0" w:after="0"/>
              <w:jc w:val="center"/>
              <w:rPr>
                <w:b/>
                <w:bCs/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correct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23232D">
            <w:pPr>
              <w:spacing w:afterLines="0" w:after="0"/>
              <w:jc w:val="center"/>
              <w:rPr>
                <w:b/>
                <w:bCs/>
                <w:sz w:val="16"/>
                <w:szCs w:val="16"/>
              </w:rPr>
            </w:pPr>
            <w:r w:rsidRPr="00122ABF">
              <w:rPr>
                <w:b/>
                <w:bCs/>
                <w:sz w:val="16"/>
                <w:szCs w:val="16"/>
              </w:rPr>
              <w:t>current spec.</w:t>
            </w:r>
          </w:p>
        </w:tc>
        <w:tc>
          <w:tcPr>
            <w:tcW w:w="167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23232D" w:rsidTr="0023232D">
        <w:tc>
          <w:tcPr>
            <w:tcW w:w="10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</w:t>
            </w:r>
            <w:proofErr w:type="spellEnd"/>
          </w:p>
        </w:tc>
        <w:tc>
          <w:tcPr>
            <w:tcW w:w="1603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inband-SamePCI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B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B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B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B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23232D">
        <w:tc>
          <w:tcPr>
            <w:tcW w:w="10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Standalone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</w:tr>
      <w:tr w:rsidR="0023232D" w:rsidTr="00F554BA"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Guardband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B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B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color w:val="FF0000"/>
                <w:sz w:val="16"/>
                <w:szCs w:val="16"/>
              </w:rPr>
            </w:pPr>
            <w:r w:rsidRPr="00122ABF">
              <w:rPr>
                <w:color w:val="FF0000"/>
                <w:sz w:val="16"/>
                <w:szCs w:val="16"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color w:val="FF0000"/>
                <w:sz w:val="16"/>
                <w:szCs w:val="16"/>
              </w:rPr>
            </w:pPr>
            <w:r w:rsidRPr="00122ABF">
              <w:rPr>
                <w:color w:val="FF0000"/>
                <w:sz w:val="16"/>
                <w:szCs w:val="16"/>
              </w:rPr>
              <w:t>B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 xml:space="preserve">The BB definition does not cover non-anchor </w:t>
            </w:r>
            <w:proofErr w:type="spellStart"/>
            <w:r w:rsidRPr="00122ABF">
              <w:rPr>
                <w:sz w:val="16"/>
                <w:szCs w:val="16"/>
              </w:rPr>
              <w:t>guardband</w:t>
            </w:r>
            <w:proofErr w:type="spellEnd"/>
            <w:r w:rsidRPr="00122ABF">
              <w:rPr>
                <w:sz w:val="16"/>
                <w:szCs w:val="16"/>
              </w:rPr>
              <w:t xml:space="preserve"> subcarriers.</w:t>
            </w:r>
          </w:p>
        </w:tc>
      </w:tr>
      <w:tr w:rsidR="0023232D" w:rsidTr="0023232D">
        <w:tc>
          <w:tcPr>
            <w:tcW w:w="10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</w:t>
            </w:r>
            <w:proofErr w:type="spellEnd"/>
          </w:p>
        </w:tc>
        <w:tc>
          <w:tcPr>
            <w:tcW w:w="1603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inband-DifferentPCI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23232D">
        <w:tc>
          <w:tcPr>
            <w:tcW w:w="10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Standalone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23232D"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Guardband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F554BA">
        <w:tc>
          <w:tcPr>
            <w:tcW w:w="10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Guardband</w:t>
            </w:r>
            <w:proofErr w:type="spellEnd"/>
          </w:p>
        </w:tc>
        <w:tc>
          <w:tcPr>
            <w:tcW w:w="1603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07704A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G</w:t>
            </w:r>
            <w:r w:rsidR="0023232D" w:rsidRPr="00122ABF">
              <w:rPr>
                <w:sz w:val="16"/>
                <w:szCs w:val="16"/>
              </w:rPr>
              <w:t>uardband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samePCI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color w:val="FF0000"/>
                <w:sz w:val="16"/>
                <w:szCs w:val="16"/>
              </w:rPr>
            </w:pPr>
            <w:r w:rsidRPr="00122ABF">
              <w:rPr>
                <w:color w:val="FF0000"/>
                <w:sz w:val="16"/>
                <w:szCs w:val="16"/>
              </w:rPr>
              <w:t>A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color w:val="FF0000"/>
                <w:sz w:val="16"/>
                <w:szCs w:val="16"/>
              </w:rPr>
            </w:pPr>
            <w:r w:rsidRPr="00122ABF">
              <w:rPr>
                <w:color w:val="FF0000"/>
                <w:sz w:val="16"/>
                <w:szCs w:val="16"/>
              </w:rPr>
              <w:t>B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B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B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 xml:space="preserve">The BB definition does not cover anchor </w:t>
            </w:r>
            <w:proofErr w:type="spellStart"/>
            <w:r w:rsidRPr="00122ABF">
              <w:rPr>
                <w:sz w:val="16"/>
                <w:szCs w:val="16"/>
              </w:rPr>
              <w:t>guardband</w:t>
            </w:r>
            <w:proofErr w:type="spellEnd"/>
            <w:r w:rsidRPr="00122ABF">
              <w:rPr>
                <w:sz w:val="16"/>
                <w:szCs w:val="16"/>
              </w:rPr>
              <w:t xml:space="preserve"> subcarriers.</w:t>
            </w:r>
          </w:p>
        </w:tc>
      </w:tr>
      <w:tr w:rsidR="0023232D" w:rsidTr="0023232D">
        <w:tc>
          <w:tcPr>
            <w:tcW w:w="101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differentPCI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23232D">
        <w:tc>
          <w:tcPr>
            <w:tcW w:w="101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Standalone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23232D"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Guardband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23232D">
        <w:tc>
          <w:tcPr>
            <w:tcW w:w="10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Standalone</w:t>
            </w:r>
          </w:p>
        </w:tc>
        <w:tc>
          <w:tcPr>
            <w:tcW w:w="160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07704A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S</w:t>
            </w:r>
            <w:r w:rsidR="0023232D" w:rsidRPr="00122ABF">
              <w:rPr>
                <w:sz w:val="16"/>
                <w:szCs w:val="16"/>
              </w:rPr>
              <w:t>tandalone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Inband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23232D">
        <w:tc>
          <w:tcPr>
            <w:tcW w:w="10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Standalone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A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  <w:tr w:rsidR="0023232D" w:rsidTr="0023232D"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rPr>
                <w:sz w:val="16"/>
                <w:szCs w:val="16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proofErr w:type="spellStart"/>
            <w:r w:rsidRPr="00122ABF">
              <w:rPr>
                <w:sz w:val="16"/>
                <w:szCs w:val="16"/>
              </w:rPr>
              <w:t>Guardband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0000"/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32D" w:rsidRPr="00122ABF" w:rsidRDefault="0023232D" w:rsidP="00E75406">
            <w:pPr>
              <w:spacing w:afterLines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32D" w:rsidRPr="00122ABF" w:rsidRDefault="0023232D" w:rsidP="00E75406">
            <w:pPr>
              <w:spacing w:afterLines="0" w:after="0"/>
              <w:jc w:val="left"/>
              <w:rPr>
                <w:sz w:val="16"/>
                <w:szCs w:val="16"/>
              </w:rPr>
            </w:pPr>
            <w:r w:rsidRPr="00122ABF">
              <w:rPr>
                <w:sz w:val="16"/>
                <w:szCs w:val="16"/>
              </w:rPr>
              <w:t> </w:t>
            </w:r>
          </w:p>
        </w:tc>
      </w:tr>
    </w:tbl>
    <w:p w:rsidR="000060F7" w:rsidRDefault="000060F7" w:rsidP="000060F7">
      <w:pPr>
        <w:spacing w:afterLines="0" w:after="0" w:line="264" w:lineRule="auto"/>
        <w:jc w:val="left"/>
      </w:pPr>
      <w:r>
        <w:t>Note</w:t>
      </w:r>
      <w:r w:rsidR="00EA6980">
        <w:t xml:space="preserve"> 1</w:t>
      </w:r>
      <w:r>
        <w:t xml:space="preserve">: </w:t>
      </w:r>
      <w:r w:rsidR="0023232D">
        <w:t xml:space="preserve">combination highlighted </w:t>
      </w:r>
      <w:r>
        <w:t xml:space="preserve">in </w:t>
      </w:r>
      <w:r w:rsidR="0023232D">
        <w:t>red</w:t>
      </w:r>
      <w:r>
        <w:t xml:space="preserve"> color is not supported in current spec.</w:t>
      </w:r>
    </w:p>
    <w:p w:rsidR="00EA6980" w:rsidRDefault="00EA6980" w:rsidP="00CE7999">
      <w:pPr>
        <w:spacing w:afterLines="0" w:after="0" w:line="264" w:lineRule="auto"/>
        <w:jc w:val="left"/>
      </w:pPr>
      <w:r>
        <w:t xml:space="preserve">Note 2: </w:t>
      </w:r>
      <w:r w:rsidR="00CE7999">
        <w:t>definition B is defined by the range from k=-N_RB^DL*</w:t>
      </w:r>
      <w:proofErr w:type="spellStart"/>
      <w:r w:rsidR="00CE7999">
        <w:t>N_sc^RB</w:t>
      </w:r>
      <w:proofErr w:type="spellEnd"/>
      <w:r w:rsidR="00CE7999">
        <w:t xml:space="preserve"> /2 to k = N_RB^DL*</w:t>
      </w:r>
      <w:proofErr w:type="spellStart"/>
      <w:r w:rsidR="00CE7999">
        <w:t>N_sc^RB</w:t>
      </w:r>
      <w:proofErr w:type="spellEnd"/>
      <w:r w:rsidR="00CE7999">
        <w:t>/2, that is, system bandwidth. For guard band operation, NB-</w:t>
      </w:r>
      <w:proofErr w:type="spellStart"/>
      <w:r w:rsidR="00CE7999">
        <w:t>IoT</w:t>
      </w:r>
      <w:proofErr w:type="spellEnd"/>
      <w:r w:rsidR="00CE7999">
        <w:t xml:space="preserve"> carrier exists out of this range.</w:t>
      </w:r>
      <w:bookmarkStart w:id="0" w:name="_GoBack"/>
      <w:bookmarkEnd w:id="0"/>
    </w:p>
    <w:p w:rsidR="00971145" w:rsidRDefault="00971145" w:rsidP="005C5169">
      <w:pPr>
        <w:spacing w:afterLines="0" w:after="0"/>
      </w:pPr>
    </w:p>
    <w:p w:rsidR="00731161" w:rsidRDefault="00731161" w:rsidP="005C5169">
      <w:pPr>
        <w:spacing w:afterLines="0" w:after="0"/>
      </w:pPr>
    </w:p>
    <w:p w:rsidR="00F11C4E" w:rsidRDefault="00D34ABF" w:rsidP="0034159C">
      <w:pPr>
        <w:pStyle w:val="1"/>
      </w:pPr>
      <w:r>
        <w:t>Discussion on TP</w:t>
      </w:r>
      <w:r w:rsidR="00731161">
        <w:t xml:space="preserve"> to address the issue</w:t>
      </w:r>
    </w:p>
    <w:p w:rsidR="00731161" w:rsidRPr="00731161" w:rsidRDefault="00D34ABF" w:rsidP="00731161">
      <w:pPr>
        <w:spacing w:after="120"/>
        <w:rPr>
          <w:lang w:val="en-GB" w:eastAsia="en-US"/>
        </w:rPr>
      </w:pPr>
      <w:r>
        <w:rPr>
          <w:lang w:val="en-GB" w:eastAsia="en-US"/>
        </w:rPr>
        <w:t>In order to address the issue shown in Table 1, the following</w:t>
      </w:r>
      <w:r w:rsidR="00731161">
        <w:rPr>
          <w:lang w:val="en-GB" w:eastAsia="en-US"/>
        </w:rPr>
        <w:t xml:space="preserve"> TP </w:t>
      </w:r>
      <w:r>
        <w:rPr>
          <w:lang w:val="en-GB" w:eastAsia="en-US"/>
        </w:rPr>
        <w:t>was firstly</w:t>
      </w:r>
      <w:r w:rsidR="00731161">
        <w:rPr>
          <w:lang w:val="en-GB" w:eastAsia="en-US"/>
        </w:rPr>
        <w:t xml:space="preserve"> pro</w:t>
      </w:r>
      <w:r>
        <w:rPr>
          <w:lang w:val="en-GB" w:eastAsia="en-US"/>
        </w:rPr>
        <w:t>posed</w:t>
      </w:r>
      <w:r w:rsidR="00731161">
        <w:rPr>
          <w:lang w:val="en-GB" w:eastAsia="en-US"/>
        </w:rPr>
        <w:t>:</w:t>
      </w:r>
    </w:p>
    <w:p w:rsidR="00731161" w:rsidRPr="00D34ABF" w:rsidRDefault="00731161" w:rsidP="00731161">
      <w:pPr>
        <w:spacing w:after="120"/>
      </w:pPr>
      <w:r>
        <w:rPr>
          <w:color w:val="FF0000"/>
        </w:rPr>
        <w:t>For an NB-</w:t>
      </w:r>
      <w:proofErr w:type="spellStart"/>
      <w:r>
        <w:rPr>
          <w:color w:val="FF0000"/>
        </w:rPr>
        <w:t>IoT</w:t>
      </w:r>
      <w:proofErr w:type="spellEnd"/>
      <w:r>
        <w:rPr>
          <w:color w:val="FF0000"/>
        </w:rPr>
        <w:t xml:space="preserve"> carrier for which </w:t>
      </w:r>
      <w:r w:rsidRPr="00D34ABF">
        <w:t xml:space="preserve">the higher layer parameter </w:t>
      </w:r>
      <w:proofErr w:type="spellStart"/>
      <w:r w:rsidRPr="00D34ABF">
        <w:rPr>
          <w:i/>
          <w:iCs/>
        </w:rPr>
        <w:t>operationModeInfo</w:t>
      </w:r>
      <w:proofErr w:type="spellEnd"/>
      <w:r w:rsidRPr="00D34ABF">
        <w:t xml:space="preserve"> does not indicate ‘</w:t>
      </w:r>
      <w:proofErr w:type="spellStart"/>
      <w:r w:rsidRPr="00D34ABF">
        <w:rPr>
          <w:i/>
          <w:iCs/>
        </w:rPr>
        <w:t>inband-SamePCI</w:t>
      </w:r>
      <w:proofErr w:type="spellEnd"/>
      <w:r w:rsidRPr="00D34ABF">
        <w:t xml:space="preserve">’, </w:t>
      </w:r>
      <w:r>
        <w:rPr>
          <w:color w:val="FF0000"/>
        </w:rPr>
        <w:t>for an NB-</w:t>
      </w:r>
      <w:proofErr w:type="spellStart"/>
      <w:r>
        <w:rPr>
          <w:color w:val="FF0000"/>
        </w:rPr>
        <w:t>IoT</w:t>
      </w:r>
      <w:proofErr w:type="spellEnd"/>
      <w:r>
        <w:rPr>
          <w:color w:val="FF0000"/>
        </w:rPr>
        <w:t xml:space="preserve"> carrier for which </w:t>
      </w:r>
      <w:r w:rsidRPr="00D34ABF">
        <w:t xml:space="preserve">the higher layer parameter </w:t>
      </w:r>
      <w:proofErr w:type="spellStart"/>
      <w:r>
        <w:rPr>
          <w:i/>
          <w:iCs/>
          <w:color w:val="FF0000"/>
        </w:rPr>
        <w:t>CarrierConfigDedicated</w:t>
      </w:r>
      <w:proofErr w:type="spellEnd"/>
      <w:r>
        <w:rPr>
          <w:i/>
          <w:iCs/>
          <w:color w:val="FF0000"/>
        </w:rPr>
        <w:t>-NB</w:t>
      </w:r>
      <w:r>
        <w:rPr>
          <w:color w:val="FF0000"/>
        </w:rPr>
        <w:t xml:space="preserve"> is present and no </w:t>
      </w:r>
      <w:proofErr w:type="spellStart"/>
      <w:r>
        <w:rPr>
          <w:i/>
          <w:iCs/>
          <w:color w:val="FF0000"/>
        </w:rPr>
        <w:t>inbandCarrierInfo</w:t>
      </w:r>
      <w:proofErr w:type="spellEnd"/>
      <w:r>
        <w:rPr>
          <w:color w:val="FF0000"/>
        </w:rPr>
        <w:t xml:space="preserve"> </w:t>
      </w:r>
      <w:r>
        <w:rPr>
          <w:color w:val="FF0000"/>
        </w:rPr>
        <w:lastRenderedPageBreak/>
        <w:t>is present, or for an NB-</w:t>
      </w:r>
      <w:proofErr w:type="spellStart"/>
      <w:r>
        <w:rPr>
          <w:color w:val="FF0000"/>
        </w:rPr>
        <w:t>IoT</w:t>
      </w:r>
      <w:proofErr w:type="spellEnd"/>
      <w:r>
        <w:rPr>
          <w:color w:val="FF0000"/>
        </w:rPr>
        <w:t xml:space="preserve"> carrier for which the higher layer parameters</w:t>
      </w:r>
      <w:r>
        <w:rPr>
          <w:i/>
          <w:iCs/>
          <w:color w:val="FF0000"/>
        </w:rPr>
        <w:t xml:space="preserve"> </w:t>
      </w:r>
      <w:proofErr w:type="spellStart"/>
      <w:r>
        <w:rPr>
          <w:i/>
          <w:iCs/>
          <w:color w:val="FF0000"/>
        </w:rPr>
        <w:t>CarrierConfigDedicated</w:t>
      </w:r>
      <w:proofErr w:type="spellEnd"/>
      <w:r>
        <w:rPr>
          <w:i/>
          <w:iCs/>
          <w:color w:val="FF0000"/>
        </w:rPr>
        <w:t>-NB</w:t>
      </w:r>
      <w:r>
        <w:rPr>
          <w:color w:val="FF0000"/>
        </w:rPr>
        <w:t xml:space="preserve"> and </w:t>
      </w:r>
      <w:proofErr w:type="spellStart"/>
      <w:r>
        <w:rPr>
          <w:i/>
          <w:iCs/>
          <w:color w:val="FF0000"/>
        </w:rPr>
        <w:t>inbandCarrierInfo</w:t>
      </w:r>
      <w:proofErr w:type="spellEnd"/>
      <w:r>
        <w:rPr>
          <w:color w:val="FF0000"/>
        </w:rPr>
        <w:t xml:space="preserve"> are present and </w:t>
      </w:r>
      <w:proofErr w:type="spellStart"/>
      <w:r>
        <w:rPr>
          <w:color w:val="FF0000"/>
        </w:rPr>
        <w:t>N^Ncell_ID</w:t>
      </w:r>
      <w:proofErr w:type="spellEnd"/>
      <w:r>
        <w:rPr>
          <w:color w:val="FF0000"/>
        </w:rPr>
        <w:t xml:space="preserve"> is not equal to </w:t>
      </w:r>
      <w:proofErr w:type="spellStart"/>
      <w:r>
        <w:rPr>
          <w:color w:val="FF0000"/>
        </w:rPr>
        <w:t>N^cell_ID</w:t>
      </w:r>
      <w:proofErr w:type="spellEnd"/>
      <w:r w:rsidRPr="00D34ABF">
        <w:t>, then the time-continuous signal … defined by</w:t>
      </w:r>
    </w:p>
    <w:p w:rsidR="00731161" w:rsidRPr="00D34ABF" w:rsidRDefault="00731161" w:rsidP="00D34ABF">
      <w:pPr>
        <w:spacing w:after="120"/>
        <w:ind w:firstLine="720"/>
      </w:pPr>
      <w:r w:rsidRPr="00D34ABF">
        <w:t>&lt;Definition A&gt;</w:t>
      </w:r>
    </w:p>
    <w:p w:rsidR="00731161" w:rsidRPr="00D34ABF" w:rsidRDefault="00731161" w:rsidP="00731161">
      <w:pPr>
        <w:spacing w:after="120"/>
      </w:pPr>
      <w:r>
        <w:rPr>
          <w:color w:val="FF0000"/>
        </w:rPr>
        <w:t>Otherwise,</w:t>
      </w:r>
      <w:r>
        <w:rPr>
          <w:color w:val="1F497D"/>
        </w:rPr>
        <w:t xml:space="preserve"> </w:t>
      </w:r>
      <w:r w:rsidRPr="00D34ABF">
        <w:t>the time-continuous signal …., defined by</w:t>
      </w:r>
    </w:p>
    <w:p w:rsidR="00731161" w:rsidRPr="00D34ABF" w:rsidRDefault="00731161" w:rsidP="00731161">
      <w:pPr>
        <w:spacing w:after="120"/>
        <w:ind w:firstLine="720"/>
      </w:pPr>
      <w:r w:rsidRPr="00D34ABF">
        <w:t>&lt;Definition B&gt;</w:t>
      </w:r>
    </w:p>
    <w:p w:rsidR="00731161" w:rsidRDefault="00731161" w:rsidP="00731161">
      <w:pPr>
        <w:spacing w:after="120"/>
        <w:rPr>
          <w:color w:val="1F497D"/>
        </w:rPr>
      </w:pPr>
    </w:p>
    <w:p w:rsidR="00731161" w:rsidRPr="00D34ABF" w:rsidRDefault="00D34ABF" w:rsidP="00D34ABF">
      <w:pPr>
        <w:spacing w:afterLines="0" w:after="0"/>
      </w:pPr>
      <w:r w:rsidRPr="00D34ABF">
        <w:t xml:space="preserve">Note that </w:t>
      </w:r>
      <w:r w:rsidR="00731161" w:rsidRPr="00D34ABF">
        <w:t>‘Otherwise’ case will cover</w:t>
      </w:r>
    </w:p>
    <w:p w:rsidR="00731161" w:rsidRPr="00D34ABF" w:rsidRDefault="00731161" w:rsidP="00731161">
      <w:pPr>
        <w:pStyle w:val="ae"/>
        <w:widowControl/>
        <w:numPr>
          <w:ilvl w:val="0"/>
          <w:numId w:val="39"/>
        </w:numPr>
        <w:adjustRightInd/>
        <w:snapToGrid/>
        <w:spacing w:afterLines="0" w:after="0"/>
        <w:ind w:leftChars="0"/>
        <w:jc w:val="left"/>
      </w:pPr>
      <w:r w:rsidRPr="00D34ABF">
        <w:t>NB-</w:t>
      </w:r>
      <w:proofErr w:type="spellStart"/>
      <w:r w:rsidRPr="00D34ABF">
        <w:t>IoT</w:t>
      </w:r>
      <w:proofErr w:type="spellEnd"/>
      <w:r w:rsidRPr="00D34ABF">
        <w:t xml:space="preserve"> anchor carrier in-band same PCI</w:t>
      </w:r>
    </w:p>
    <w:p w:rsidR="00731161" w:rsidRPr="00D34ABF" w:rsidRDefault="00731161" w:rsidP="00731161">
      <w:pPr>
        <w:pStyle w:val="ae"/>
        <w:widowControl/>
        <w:numPr>
          <w:ilvl w:val="0"/>
          <w:numId w:val="39"/>
        </w:numPr>
        <w:adjustRightInd/>
        <w:snapToGrid/>
        <w:spacing w:afterLines="0" w:after="0"/>
        <w:ind w:leftChars="0"/>
        <w:jc w:val="left"/>
      </w:pPr>
      <w:r w:rsidRPr="00D34ABF">
        <w:t>NB-</w:t>
      </w:r>
      <w:proofErr w:type="spellStart"/>
      <w:r w:rsidRPr="00D34ABF">
        <w:t>IoT</w:t>
      </w:r>
      <w:proofErr w:type="spellEnd"/>
      <w:r w:rsidRPr="00D34ABF">
        <w:t xml:space="preserve"> non-anchor carrier in-band same PCI</w:t>
      </w:r>
    </w:p>
    <w:p w:rsidR="00731161" w:rsidRPr="00D34ABF" w:rsidRDefault="00731161" w:rsidP="00731161">
      <w:pPr>
        <w:pStyle w:val="ae"/>
        <w:widowControl/>
        <w:numPr>
          <w:ilvl w:val="0"/>
          <w:numId w:val="39"/>
        </w:numPr>
        <w:adjustRightInd/>
        <w:snapToGrid/>
        <w:spacing w:afterLines="0" w:after="120"/>
        <w:ind w:leftChars="0"/>
        <w:jc w:val="left"/>
      </w:pPr>
      <w:r w:rsidRPr="00D34ABF">
        <w:t>Non NB-</w:t>
      </w:r>
      <w:proofErr w:type="spellStart"/>
      <w:r w:rsidRPr="00D34ABF">
        <w:t>IoT</w:t>
      </w:r>
      <w:proofErr w:type="spellEnd"/>
      <w:r w:rsidRPr="00D34ABF">
        <w:t xml:space="preserve"> carrier</w:t>
      </w:r>
    </w:p>
    <w:p w:rsidR="00731161" w:rsidRDefault="00731161" w:rsidP="00731161">
      <w:pPr>
        <w:spacing w:afterLines="0" w:after="0"/>
      </w:pPr>
    </w:p>
    <w:p w:rsidR="00731161" w:rsidRDefault="00D34ABF" w:rsidP="00731161">
      <w:pPr>
        <w:spacing w:afterLines="0" w:after="0"/>
      </w:pPr>
      <w:r>
        <w:t>However, a</w:t>
      </w:r>
      <w:r w:rsidR="00731161">
        <w:t xml:space="preserve"> concern was shown to the condition “</w:t>
      </w:r>
      <w:proofErr w:type="spellStart"/>
      <w:r w:rsidR="00731161" w:rsidRPr="00731161">
        <w:t>N^Ncell_ID</w:t>
      </w:r>
      <w:proofErr w:type="spellEnd"/>
      <w:r w:rsidR="00731161" w:rsidRPr="00731161">
        <w:t xml:space="preserve"> is not equal to </w:t>
      </w:r>
      <w:proofErr w:type="spellStart"/>
      <w:r w:rsidR="00731161" w:rsidRPr="00731161">
        <w:t>N^cell_ID</w:t>
      </w:r>
      <w:proofErr w:type="spellEnd"/>
      <w:r w:rsidR="00731161">
        <w:t>” because in some case no LTE PCI exists or is known to NB-</w:t>
      </w:r>
      <w:proofErr w:type="spellStart"/>
      <w:r w:rsidR="00731161">
        <w:t>IoT</w:t>
      </w:r>
      <w:proofErr w:type="spellEnd"/>
      <w:r w:rsidR="00731161">
        <w:t>, and it was proposed to replace the condition with:</w:t>
      </w:r>
    </w:p>
    <w:p w:rsidR="00731161" w:rsidRDefault="00731161" w:rsidP="00731161">
      <w:pPr>
        <w:spacing w:afterLines="0" w:after="0"/>
      </w:pPr>
    </w:p>
    <w:p w:rsidR="00731161" w:rsidRDefault="00731161" w:rsidP="009141A2">
      <w:pPr>
        <w:pStyle w:val="ae"/>
        <w:numPr>
          <w:ilvl w:val="0"/>
          <w:numId w:val="41"/>
        </w:numPr>
        <w:spacing w:afterLines="0" w:after="0"/>
        <w:ind w:leftChars="0"/>
      </w:pPr>
      <w:proofErr w:type="spellStart"/>
      <w:r w:rsidRPr="009141A2">
        <w:rPr>
          <w:i/>
          <w:iCs/>
          <w:color w:val="FF0000"/>
        </w:rPr>
        <w:t>samePCI</w:t>
      </w:r>
      <w:proofErr w:type="spellEnd"/>
      <w:r w:rsidRPr="009141A2">
        <w:rPr>
          <w:i/>
          <w:iCs/>
          <w:color w:val="FF0000"/>
        </w:rPr>
        <w:t>-Indicator</w:t>
      </w:r>
      <w:r w:rsidRPr="009141A2">
        <w:rPr>
          <w:color w:val="FF0000"/>
        </w:rPr>
        <w:t xml:space="preserve"> does not indicate </w:t>
      </w:r>
      <w:proofErr w:type="spellStart"/>
      <w:r w:rsidRPr="009141A2">
        <w:rPr>
          <w:i/>
          <w:iCs/>
          <w:color w:val="FF0000"/>
        </w:rPr>
        <w:t>samePCI</w:t>
      </w:r>
      <w:proofErr w:type="spellEnd"/>
    </w:p>
    <w:p w:rsidR="00731161" w:rsidRDefault="00731161" w:rsidP="00731161">
      <w:pPr>
        <w:spacing w:afterLines="0" w:after="0"/>
      </w:pPr>
    </w:p>
    <w:p w:rsidR="00D34ABF" w:rsidRDefault="00D34ABF" w:rsidP="00D34ABF">
      <w:pPr>
        <w:spacing w:afterLines="0" w:after="0"/>
        <w:jc w:val="left"/>
      </w:pPr>
      <w:r>
        <w:t xml:space="preserve">To this, another concern was shown that </w:t>
      </w:r>
      <w:proofErr w:type="spellStart"/>
      <w:r>
        <w:t>samePCI</w:t>
      </w:r>
      <w:proofErr w:type="spellEnd"/>
      <w:r>
        <w:t>-Indicator IE does not exist in case anchor is in-band. Finally, the following text was proposed and captured by draft CRs in [2</w:t>
      </w:r>
      <w:proofErr w:type="gramStart"/>
      <w:r>
        <w:t>][</w:t>
      </w:r>
      <w:proofErr w:type="gramEnd"/>
      <w:r>
        <w:t>3].</w:t>
      </w:r>
    </w:p>
    <w:p w:rsidR="00731161" w:rsidRDefault="00731161" w:rsidP="00731161">
      <w:pPr>
        <w:spacing w:afterLines="0" w:after="0"/>
      </w:pPr>
    </w:p>
    <w:p w:rsidR="00731161" w:rsidRDefault="00D34ABF" w:rsidP="009141A2">
      <w:pPr>
        <w:pStyle w:val="ae"/>
        <w:numPr>
          <w:ilvl w:val="0"/>
          <w:numId w:val="41"/>
        </w:numPr>
        <w:spacing w:afterLines="0" w:after="0"/>
        <w:ind w:leftChars="0"/>
      </w:pPr>
      <w:r w:rsidRPr="009141A2">
        <w:rPr>
          <w:color w:val="FF0000"/>
        </w:rPr>
        <w:t xml:space="preserve">the higher layers does not indicate </w:t>
      </w:r>
      <w:proofErr w:type="spellStart"/>
      <w:r w:rsidRPr="009141A2">
        <w:rPr>
          <w:color w:val="FF0000"/>
        </w:rPr>
        <w:t>N^Ncell_ID</w:t>
      </w:r>
      <w:proofErr w:type="spellEnd"/>
      <w:r w:rsidRPr="009141A2">
        <w:rPr>
          <w:color w:val="FF0000"/>
        </w:rPr>
        <w:t xml:space="preserve"> is </w:t>
      </w:r>
      <w:r w:rsidRPr="009141A2">
        <w:rPr>
          <w:color w:val="FF0000"/>
        </w:rPr>
        <w:t xml:space="preserve">the same as </w:t>
      </w:r>
      <w:proofErr w:type="spellStart"/>
      <w:r w:rsidRPr="009141A2">
        <w:rPr>
          <w:color w:val="FF0000"/>
        </w:rPr>
        <w:t>N^cell_ID</w:t>
      </w:r>
      <w:proofErr w:type="spellEnd"/>
    </w:p>
    <w:p w:rsidR="00D34ABF" w:rsidRDefault="00D34ABF" w:rsidP="00731161">
      <w:pPr>
        <w:spacing w:afterLines="0" w:after="0"/>
      </w:pPr>
    </w:p>
    <w:p w:rsidR="009141A2" w:rsidRDefault="009141A2" w:rsidP="00731161">
      <w:pPr>
        <w:spacing w:afterLines="0" w:after="0"/>
      </w:pPr>
      <w:r>
        <w:t>Note that “the higher layers does not indicate” includes any higher layer signaling such as MIB, SIB1, dedicated signaling.</w:t>
      </w:r>
    </w:p>
    <w:p w:rsidR="005F4DBA" w:rsidRDefault="005F4DBA" w:rsidP="005F4DBA">
      <w:pPr>
        <w:pStyle w:val="1"/>
      </w:pPr>
      <w:r>
        <w:t>Reference</w:t>
      </w:r>
    </w:p>
    <w:p w:rsidR="00311825" w:rsidRDefault="00FC382A" w:rsidP="009141A2">
      <w:pPr>
        <w:spacing w:afterLines="0" w:after="0"/>
        <w:jc w:val="left"/>
      </w:pPr>
      <w:r>
        <w:t>[1] TS36.211 V13.3.0</w:t>
      </w:r>
    </w:p>
    <w:p w:rsidR="00D34ABF" w:rsidRDefault="00D34ABF" w:rsidP="009141A2">
      <w:pPr>
        <w:spacing w:afterLines="0" w:after="0"/>
        <w:jc w:val="left"/>
      </w:pPr>
      <w:r>
        <w:t>[2] R1-161</w:t>
      </w:r>
      <w:r w:rsidR="009141A2">
        <w:t>3714</w:t>
      </w:r>
    </w:p>
    <w:p w:rsidR="00D34ABF" w:rsidRPr="00560938" w:rsidRDefault="00D34ABF" w:rsidP="009141A2">
      <w:pPr>
        <w:spacing w:afterLines="0" w:after="0"/>
        <w:jc w:val="left"/>
      </w:pPr>
      <w:r>
        <w:t>[3] R1-161</w:t>
      </w:r>
      <w:r w:rsidR="009141A2">
        <w:t>3566</w:t>
      </w:r>
    </w:p>
    <w:p w:rsidR="00336E74" w:rsidRPr="005F4DBA" w:rsidRDefault="00336E74" w:rsidP="003461A2">
      <w:pPr>
        <w:spacing w:afterLines="0" w:after="0" w:line="264" w:lineRule="auto"/>
        <w:jc w:val="left"/>
      </w:pPr>
    </w:p>
    <w:p w:rsidR="00336E74" w:rsidRDefault="00336E74" w:rsidP="0034159C">
      <w:pPr>
        <w:pStyle w:val="1"/>
      </w:pPr>
      <w:r>
        <w:t>Annex</w:t>
      </w:r>
    </w:p>
    <w:p w:rsidR="00F554BA" w:rsidRDefault="00F554BA" w:rsidP="00F554BA">
      <w:pPr>
        <w:spacing w:after="120"/>
        <w:rPr>
          <w:lang w:val="en-GB" w:eastAsia="en-US"/>
        </w:rPr>
      </w:pPr>
      <w:r>
        <w:rPr>
          <w:lang w:val="en-GB" w:eastAsia="en-US"/>
        </w:rPr>
        <w:t>TS36.211</w:t>
      </w:r>
    </w:p>
    <w:p w:rsidR="00F554BA" w:rsidRDefault="00F554BA" w:rsidP="00F554BA">
      <w:pPr>
        <w:spacing w:after="120"/>
        <w:rPr>
          <w:lang w:val="en-GB" w:eastAsia="en-US"/>
        </w:rPr>
      </w:pPr>
      <w:r w:rsidRPr="00E8214F">
        <w:rPr>
          <w:noProof/>
          <w:szCs w:val="20"/>
        </w:rPr>
        <w:lastRenderedPageBreak/>
        <mc:AlternateContent>
          <mc:Choice Requires="wps">
            <w:drawing>
              <wp:inline distT="0" distB="0" distL="0" distR="0" wp14:anchorId="485E8A86" wp14:editId="6DF510BE">
                <wp:extent cx="6097849" cy="4611841"/>
                <wp:effectExtent l="0" t="0" r="17780" b="1714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849" cy="46118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54BA" w:rsidRPr="0034159C" w:rsidRDefault="00F554BA" w:rsidP="00F554BA">
                            <w:pPr>
                              <w:spacing w:after="120"/>
                              <w:rPr>
                                <w:color w:val="0000FF"/>
                              </w:rPr>
                            </w:pPr>
                            <w:r w:rsidRPr="0034159C">
                              <w:rPr>
                                <w:color w:val="0000FF"/>
                              </w:rPr>
                              <w:t>Definition A:</w:t>
                            </w:r>
                          </w:p>
                          <w:p w:rsidR="00F554BA" w:rsidRDefault="00F554BA" w:rsidP="00F554BA">
                            <w:pPr>
                              <w:spacing w:after="120"/>
                            </w:pPr>
                            <w:r>
                              <w:t xml:space="preserve">If the higher layer parameter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operationModeInfo</w:t>
                            </w:r>
                            <w:proofErr w:type="spellEnd"/>
                            <w:r>
                              <w:t xml:space="preserve"> does not indicate ‘</w:t>
                            </w:r>
                            <w:proofErr w:type="spellStart"/>
                            <w:r w:rsidRPr="003A5133">
                              <w:rPr>
                                <w:i/>
                              </w:rPr>
                              <w:t>inband-SamePCI</w:t>
                            </w:r>
                            <w:proofErr w:type="spellEnd"/>
                            <w:r>
                              <w:t>’</w:t>
                            </w:r>
                            <w:r w:rsidRPr="001C5B60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and</w:t>
                            </w:r>
                            <w:r w:rsidRPr="001C5B60">
                              <w:rPr>
                                <w:rFonts w:hint="eastAsia"/>
                              </w:rPr>
                              <w:t xml:space="preserve"> </w:t>
                            </w:r>
                            <w:proofErr w:type="spellStart"/>
                            <w:r w:rsidRPr="00C7465E">
                              <w:rPr>
                                <w:i/>
                              </w:rPr>
                              <w:t>samePCI</w:t>
                            </w:r>
                            <w:proofErr w:type="spellEnd"/>
                            <w:r w:rsidRPr="00C7465E">
                              <w:rPr>
                                <w:i/>
                              </w:rPr>
                              <w:t>-Indicator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does not indicate</w:t>
                            </w:r>
                            <w:r>
                              <w:rPr>
                                <w:rFonts w:hint="eastAsia"/>
                              </w:rPr>
                              <w:t xml:space="preserve"> '</w:t>
                            </w:r>
                            <w:proofErr w:type="spellStart"/>
                            <w:r w:rsidRPr="00C11397">
                              <w:rPr>
                                <w:i/>
                              </w:rPr>
                              <w:t>samePCI</w:t>
                            </w:r>
                            <w:proofErr w:type="spellEnd"/>
                            <w:r w:rsidRPr="001C5B60">
                              <w:rPr>
                                <w:rFonts w:hint="eastAsia"/>
                                <w:i/>
                              </w:rPr>
                              <w:t>'</w:t>
                            </w:r>
                            <w:r>
                              <w:t>, then t</w:t>
                            </w:r>
                            <w:r w:rsidRPr="00C12953">
                              <w:t xml:space="preserve">he time-continuous signal </w:t>
                            </w:r>
                            <w:r w:rsidRPr="00C12953">
                              <w:rPr>
                                <w:position w:val="-12"/>
                              </w:rPr>
                              <w:object w:dxaOrig="580" w:dyaOrig="3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8.7pt;height:18.55pt" o:ole="">
                                  <v:imagedata r:id="rId8" o:title=""/>
                                </v:shape>
                                <o:OLEObject Type="Embed" ProgID="Equation.3" ShapeID="_x0000_i1025" DrawAspect="Content" ObjectID="_1540980645" r:id="rId9"/>
                              </w:object>
                            </w:r>
                            <w:r w:rsidRPr="00C12953">
                              <w:t xml:space="preserve"> on </w:t>
                            </w:r>
                            <w:r>
                              <w:t>antenna port</w:t>
                            </w:r>
                            <w:r w:rsidRPr="00C12953">
                              <w:t xml:space="preserve"> </w:t>
                            </w:r>
                            <w:r w:rsidRPr="00C12953">
                              <w:rPr>
                                <w:position w:val="-10"/>
                              </w:rPr>
                              <w:object w:dxaOrig="200" w:dyaOrig="240">
                                <v:shape id="_x0000_i1026" type="#_x0000_t75" style="width:9.7pt;height:11.95pt" o:ole="">
                                  <v:imagedata r:id="rId10" o:title=""/>
                                </v:shape>
                                <o:OLEObject Type="Embed" ProgID="Equation.3" ShapeID="_x0000_i1026" DrawAspect="Content" ObjectID="_1540980646" r:id="rId11"/>
                              </w:object>
                            </w:r>
                            <w:r w:rsidRPr="00C12953">
                              <w:t xml:space="preserve"> in OFDM symbol </w:t>
                            </w:r>
                            <w:r w:rsidRPr="00C12953">
                              <w:rPr>
                                <w:position w:val="-6"/>
                              </w:rPr>
                              <w:object w:dxaOrig="139" w:dyaOrig="260">
                                <v:shape id="_x0000_i1027" type="#_x0000_t75" style="width:6.2pt;height:12.8pt" o:ole="">
                                  <v:imagedata r:id="rId12" o:title=""/>
                                </v:shape>
                                <o:OLEObject Type="Embed" ProgID="Equation.3" ShapeID="_x0000_i1027" DrawAspect="Content" ObjectID="_1540980647" r:id="rId13"/>
                              </w:object>
                            </w:r>
                            <w:r w:rsidRPr="00C12953">
                              <w:t xml:space="preserve"> in a downlink slot is defined by </w:t>
                            </w:r>
                          </w:p>
                          <w:p w:rsidR="00F554BA" w:rsidRDefault="00F554BA" w:rsidP="00F554BA">
                            <w:pPr>
                              <w:pStyle w:val="EQ"/>
                              <w:spacing w:after="120"/>
                              <w:jc w:val="center"/>
                            </w:pPr>
                            <w:r w:rsidRPr="004B01E6">
                              <w:rPr>
                                <w:position w:val="-34"/>
                              </w:rPr>
                              <w:object w:dxaOrig="3739" w:dyaOrig="780">
                                <v:shape id="_x0000_i1028" type="#_x0000_t75" style="width:186.85pt;height:38.45pt" o:ole="">
                                  <v:imagedata r:id="rId14" o:title=""/>
                                </v:shape>
                                <o:OLEObject Type="Embed" ProgID="Equation.3" ShapeID="_x0000_i1028" DrawAspect="Content" ObjectID="_1540980648" r:id="rId15"/>
                              </w:object>
                            </w:r>
                          </w:p>
                          <w:p w:rsidR="00F554BA" w:rsidRDefault="00F554BA" w:rsidP="00F554BA">
                            <w:pPr>
                              <w:spacing w:after="120"/>
                            </w:pPr>
                            <w:proofErr w:type="gramStart"/>
                            <w:r w:rsidRPr="00C12953">
                              <w:t>for</w:t>
                            </w:r>
                            <w:proofErr w:type="gramEnd"/>
                            <w:r w:rsidRPr="00C12953">
                              <w:rPr>
                                <w:position w:val="-12"/>
                                <w:sz w:val="10"/>
                                <w:szCs w:val="10"/>
                              </w:rPr>
                              <w:object w:dxaOrig="1840" w:dyaOrig="320">
                                <v:shape id="_x0000_i1029" type="#_x0000_t75" style="width:92.3pt;height:15.9pt" o:ole="">
                                  <v:imagedata r:id="rId16" o:title=""/>
                                </v:shape>
                                <o:OLEObject Type="Embed" ProgID="Equation.3" ShapeID="_x0000_i1029" DrawAspect="Content" ObjectID="_1540980649" r:id="rId17"/>
                              </w:object>
                            </w:r>
                            <w:r w:rsidRPr="00C12953">
                              <w:t xml:space="preserve"> </w:t>
                            </w:r>
                            <w:r>
                              <w:t xml:space="preserve">where </w:t>
                            </w:r>
                            <w:r w:rsidRPr="00620CA2">
                              <w:rPr>
                                <w:position w:val="-10"/>
                              </w:rPr>
                              <w:object w:dxaOrig="1600" w:dyaOrig="340">
                                <v:shape id="_x0000_i1030" type="#_x0000_t75" style="width:79.5pt;height:17.25pt" o:ole="">
                                  <v:imagedata r:id="rId18" o:title=""/>
                                </v:shape>
                                <o:OLEObject Type="Embed" ProgID="Equation.3" ShapeID="_x0000_i1030" DrawAspect="Content" ObjectID="_1540980650" r:id="rId19"/>
                              </w:object>
                            </w:r>
                            <w:r>
                              <w:t xml:space="preserve">, </w:t>
                            </w:r>
                            <w:r w:rsidRPr="00C7537A">
                              <w:rPr>
                                <w:position w:val="-6"/>
                              </w:rPr>
                              <w:object w:dxaOrig="840" w:dyaOrig="240">
                                <v:shape id="_x0000_i1031" type="#_x0000_t75" style="width:41.95pt;height:11.95pt" o:ole="">
                                  <v:imagedata r:id="rId20" o:title=""/>
                                </v:shape>
                                <o:OLEObject Type="Embed" ProgID="Equation.3" ShapeID="_x0000_i1031" DrawAspect="Content" ObjectID="_1540980651" r:id="rId21"/>
                              </w:object>
                            </w:r>
                            <w:r>
                              <w:t xml:space="preserve">, </w:t>
                            </w:r>
                            <w:r w:rsidRPr="004972BC">
                              <w:rPr>
                                <w:position w:val="-10"/>
                              </w:rPr>
                              <w:object w:dxaOrig="1060" w:dyaOrig="300">
                                <v:shape id="_x0000_i1032" type="#_x0000_t75" style="width:53.45pt;height:15pt" o:ole="">
                                  <v:imagedata r:id="rId22" o:title=""/>
                                </v:shape>
                                <o:OLEObject Type="Embed" ProgID="Equation.3" ShapeID="_x0000_i1032" DrawAspect="Content" ObjectID="_1540980652" r:id="rId23"/>
                              </w:object>
                            </w:r>
                            <w:r w:rsidRPr="00AC0046">
                              <w:t xml:space="preserve"> </w:t>
                            </w:r>
                            <w:r>
                              <w:t xml:space="preserve">and </w:t>
                            </w:r>
                            <w:r>
                              <w:rPr>
                                <w:position w:val="-14"/>
                              </w:rPr>
                              <w:object w:dxaOrig="400" w:dyaOrig="380">
                                <v:shape id="_x0000_i1033" type="#_x0000_t75" style="width:20.3pt;height:18.55pt" o:ole="">
                                  <v:imagedata r:id="rId24" o:title=""/>
                                </v:shape>
                                <o:OLEObject Type="Embed" ProgID="Equation.3" ShapeID="_x0000_i1033" DrawAspect="Content" ObjectID="_1540980653" r:id="rId25"/>
                              </w:object>
                            </w:r>
                            <w:r>
                              <w:t xml:space="preserve"> is the content of resource element </w:t>
                            </w:r>
                            <w:r w:rsidRPr="00A55985">
                              <w:rPr>
                                <w:position w:val="-10"/>
                              </w:rPr>
                              <w:object w:dxaOrig="440" w:dyaOrig="300">
                                <v:shape id="_x0000_i1034" type="#_x0000_t75" style="width:22.1pt;height:15pt" o:ole="">
                                  <v:imagedata r:id="rId26" o:title=""/>
                                </v:shape>
                                <o:OLEObject Type="Embed" ProgID="Equation.3" ShapeID="_x0000_i1034" DrawAspect="Content" ObjectID="_1540980654" r:id="rId27"/>
                              </w:object>
                            </w:r>
                            <w:r>
                              <w:t xml:space="preserve"> on antenna port </w:t>
                            </w:r>
                            <w:r>
                              <w:rPr>
                                <w:position w:val="-10"/>
                              </w:rPr>
                              <w:object w:dxaOrig="200" w:dyaOrig="240">
                                <v:shape id="_x0000_i1035" type="#_x0000_t75" style="width:9.7pt;height:11.95pt" o:ole="">
                                  <v:imagedata r:id="rId28" o:title=""/>
                                </v:shape>
                                <o:OLEObject Type="Embed" ProgID="Equation.3" ShapeID="_x0000_i1035" DrawAspect="Content" ObjectID="_1540980655" r:id="rId29"/>
                              </w:object>
                            </w:r>
                            <w:r w:rsidRPr="00C12953">
                              <w:t>.</w:t>
                            </w:r>
                            <w:r w:rsidRPr="007E333D">
                              <w:t xml:space="preserve"> </w:t>
                            </w:r>
                          </w:p>
                          <w:p w:rsidR="00F554BA" w:rsidRPr="0034159C" w:rsidRDefault="00F554BA" w:rsidP="00F554BA">
                            <w:pPr>
                              <w:spacing w:after="120"/>
                              <w:rPr>
                                <w:color w:val="0000FF"/>
                              </w:rPr>
                            </w:pPr>
                            <w:r w:rsidRPr="0034159C">
                              <w:rPr>
                                <w:color w:val="0000FF"/>
                              </w:rPr>
                              <w:t xml:space="preserve">Definition </w:t>
                            </w:r>
                            <w:r>
                              <w:rPr>
                                <w:color w:val="0000FF"/>
                              </w:rPr>
                              <w:t>B</w:t>
                            </w:r>
                            <w:r w:rsidRPr="0034159C">
                              <w:rPr>
                                <w:color w:val="0000FF"/>
                              </w:rPr>
                              <w:t>:</w:t>
                            </w:r>
                          </w:p>
                          <w:p w:rsidR="00F554BA" w:rsidRDefault="00F554BA" w:rsidP="00F554BA">
                            <w:pPr>
                              <w:spacing w:after="120"/>
                            </w:pPr>
                            <w:r>
                              <w:t xml:space="preserve">If the higher layer parameter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operationModeInfo</w:t>
                            </w:r>
                            <w:proofErr w:type="spellEnd"/>
                            <w:r>
                              <w:t xml:space="preserve"> indicates ‘</w:t>
                            </w:r>
                            <w:proofErr w:type="spellStart"/>
                            <w:r w:rsidRPr="003A5133">
                              <w:rPr>
                                <w:i/>
                              </w:rPr>
                              <w:t>inband-SamePCI</w:t>
                            </w:r>
                            <w:proofErr w:type="spellEnd"/>
                            <w:r>
                              <w:t>’</w:t>
                            </w:r>
                            <w:r w:rsidRPr="001C5B60">
                              <w:rPr>
                                <w:rFonts w:hint="eastAsia"/>
                              </w:rPr>
                              <w:t xml:space="preserve"> or </w:t>
                            </w:r>
                            <w:proofErr w:type="spellStart"/>
                            <w:r w:rsidRPr="005F2C0C">
                              <w:rPr>
                                <w:i/>
                              </w:rPr>
                              <w:t>samePCI</w:t>
                            </w:r>
                            <w:proofErr w:type="spellEnd"/>
                            <w:r w:rsidRPr="005F2C0C">
                              <w:rPr>
                                <w:i/>
                              </w:rPr>
                              <w:t>-Indicator</w:t>
                            </w:r>
                            <w:r>
                              <w:rPr>
                                <w:rFonts w:hint="eastAsia"/>
                              </w:rPr>
                              <w:t xml:space="preserve"> indicate '</w:t>
                            </w:r>
                            <w:proofErr w:type="spellStart"/>
                            <w:r w:rsidRPr="00C11397">
                              <w:rPr>
                                <w:i/>
                              </w:rPr>
                              <w:t>samePCI</w:t>
                            </w:r>
                            <w:proofErr w:type="spellEnd"/>
                            <w:r w:rsidRPr="001C5B60">
                              <w:rPr>
                                <w:rFonts w:hint="eastAsia"/>
                                <w:i/>
                              </w:rPr>
                              <w:t>'</w:t>
                            </w:r>
                            <w:r>
                              <w:t>, then t</w:t>
                            </w:r>
                            <w:r w:rsidRPr="00C12953">
                              <w:t xml:space="preserve">he time-continuous signal </w:t>
                            </w:r>
                            <w:r w:rsidRPr="00C12953">
                              <w:rPr>
                                <w:position w:val="-12"/>
                              </w:rPr>
                              <w:object w:dxaOrig="639" w:dyaOrig="380">
                                <v:shape id="_x0000_i1036" type="#_x0000_t75" style="width:32.25pt;height:18.55pt" o:ole="">
                                  <v:imagedata r:id="rId30" o:title=""/>
                                </v:shape>
                                <o:OLEObject Type="Embed" ProgID="Equation.3" ShapeID="_x0000_i1036" DrawAspect="Content" ObjectID="_1540980656" r:id="rId31"/>
                              </w:object>
                            </w:r>
                            <w:r w:rsidRPr="00C12953">
                              <w:t xml:space="preserve"> on </w:t>
                            </w:r>
                            <w:r>
                              <w:t>antenna port</w:t>
                            </w:r>
                            <w:r w:rsidRPr="00C12953">
                              <w:t xml:space="preserve"> </w:t>
                            </w:r>
                            <w:r w:rsidRPr="00C12953">
                              <w:rPr>
                                <w:position w:val="-10"/>
                              </w:rPr>
                              <w:object w:dxaOrig="200" w:dyaOrig="240">
                                <v:shape id="_x0000_i1037" type="#_x0000_t75" style="width:9.7pt;height:11.95pt" o:ole="">
                                  <v:imagedata r:id="rId10" o:title=""/>
                                </v:shape>
                                <o:OLEObject Type="Embed" ProgID="Equation.3" ShapeID="_x0000_i1037" DrawAspect="Content" ObjectID="_1540980657" r:id="rId32"/>
                              </w:object>
                            </w:r>
                            <w:r w:rsidRPr="00C12953">
                              <w:t xml:space="preserve"> in OFDM </w:t>
                            </w:r>
                            <w:proofErr w:type="gramStart"/>
                            <w:r w:rsidRPr="00C12953">
                              <w:t xml:space="preserve">symbol </w:t>
                            </w:r>
                            <w:proofErr w:type="gramEnd"/>
                            <w:r w:rsidRPr="00C12953">
                              <w:rPr>
                                <w:position w:val="-6"/>
                              </w:rPr>
                              <w:object w:dxaOrig="180" w:dyaOrig="279">
                                <v:shape id="_x0000_i1038" type="#_x0000_t75" style="width:8.85pt;height:13.7pt" o:ole="">
                                  <v:imagedata r:id="rId33" o:title=""/>
                                </v:shape>
                                <o:OLEObject Type="Embed" ProgID="Equation.3" ShapeID="_x0000_i1038" DrawAspect="Content" ObjectID="_1540980658" r:id="rId34"/>
                              </w:object>
                            </w:r>
                            <w:r>
                              <w:t xml:space="preserve">, where </w:t>
                            </w:r>
                            <w:r w:rsidRPr="005D29BF">
                              <w:rPr>
                                <w:position w:val="-14"/>
                              </w:rPr>
                              <w:object w:dxaOrig="3460" w:dyaOrig="400">
                                <v:shape id="_x0000_i1039" type="#_x0000_t75" style="width:172.25pt;height:20.3pt" o:ole="">
                                  <v:imagedata r:id="rId35" o:title=""/>
                                </v:shape>
                                <o:OLEObject Type="Embed" ProgID="Equation.3" ShapeID="_x0000_i1039" DrawAspect="Content" ObjectID="_1540980659" r:id="rId36"/>
                              </w:object>
                            </w:r>
                            <w:r>
                              <w:t>is the OFDM symbol index from the start of the last even-numbered subframe, is defined by</w:t>
                            </w:r>
                          </w:p>
                          <w:p w:rsidR="00F554BA" w:rsidRDefault="00F554BA" w:rsidP="00F554BA">
                            <w:pPr>
                              <w:spacing w:after="120"/>
                              <w:jc w:val="center"/>
                            </w:pPr>
                            <w:r w:rsidRPr="005D29BF">
                              <w:rPr>
                                <w:position w:val="-34"/>
                              </w:rPr>
                              <w:object w:dxaOrig="9139" w:dyaOrig="859">
                                <v:shape id="_x0000_i1040" type="#_x0000_t75" style="width:456.75pt;height:42.85pt" o:ole="">
                                  <v:imagedata r:id="rId37" o:title=""/>
                                </v:shape>
                                <o:OLEObject Type="Embed" ProgID="Equation.3" ShapeID="_x0000_i1040" DrawAspect="Content" ObjectID="_1540980660" r:id="rId38"/>
                              </w:object>
                            </w:r>
                          </w:p>
                          <w:p w:rsidR="00F554BA" w:rsidRPr="00A27174" w:rsidRDefault="00F554BA" w:rsidP="00F554BA">
                            <w:pPr>
                              <w:spacing w:after="120"/>
                            </w:pPr>
                            <w:proofErr w:type="gramStart"/>
                            <w:r w:rsidRPr="00C12953">
                              <w:t>for</w:t>
                            </w:r>
                            <w:proofErr w:type="gramEnd"/>
                            <w:r w:rsidRPr="00C12953">
                              <w:t xml:space="preserve"> </w:t>
                            </w:r>
                            <w:r w:rsidRPr="00C12953">
                              <w:rPr>
                                <w:position w:val="-12"/>
                                <w:sz w:val="10"/>
                                <w:szCs w:val="10"/>
                              </w:rPr>
                              <w:object w:dxaOrig="1840" w:dyaOrig="320">
                                <v:shape id="_x0000_i1041" type="#_x0000_t75" style="width:92.3pt;height:15.9pt" o:ole="">
                                  <v:imagedata r:id="rId39" o:title=""/>
                                </v:shape>
                                <o:OLEObject Type="Embed" ProgID="Equation.3" ShapeID="_x0000_i1041" DrawAspect="Content" ObjectID="_1540980661" r:id="rId40"/>
                              </w:object>
                            </w:r>
                            <w:r w:rsidRPr="00C12953">
                              <w:t xml:space="preserve">   where </w:t>
                            </w:r>
                            <w:r w:rsidRPr="00C12953">
                              <w:rPr>
                                <w:position w:val="-10"/>
                              </w:rPr>
                              <w:object w:dxaOrig="1960" w:dyaOrig="340">
                                <v:shape id="_x0000_i1042" type="#_x0000_t75" style="width:98.5pt;height:17.25pt" o:ole="">
                                  <v:imagedata r:id="rId41" o:title=""/>
                                </v:shape>
                                <o:OLEObject Type="Embed" ProgID="Equation.3" ShapeID="_x0000_i1042" DrawAspect="Content" ObjectID="_1540980662" r:id="rId42"/>
                              </w:object>
                            </w:r>
                            <w:r w:rsidRPr="00C12953">
                              <w:t xml:space="preserve"> and</w:t>
                            </w:r>
                            <w:r w:rsidRPr="00C12953">
                              <w:rPr>
                                <w:position w:val="-10"/>
                              </w:rPr>
                              <w:object w:dxaOrig="2220" w:dyaOrig="340">
                                <v:shape id="_x0000_i1043" type="#_x0000_t75" style="width:110.85pt;height:17.25pt" o:ole="">
                                  <v:imagedata r:id="rId43" o:title=""/>
                                </v:shape>
                                <o:OLEObject Type="Embed" ProgID="Equation.3" ShapeID="_x0000_i1043" DrawAspect="Content" ObjectID="_1540980663" r:id="rId44"/>
                              </w:object>
                            </w:r>
                            <w:r>
                              <w:t xml:space="preserve">, </w:t>
                            </w:r>
                            <w:r w:rsidRPr="00FB5D25">
                              <w:rPr>
                                <w:position w:val="-30"/>
                              </w:rPr>
                              <w:object w:dxaOrig="3700" w:dyaOrig="720">
                                <v:shape id="_x0000_i1044" type="#_x0000_t75" style="width:185.5pt;height:36.2pt" o:ole="">
                                  <v:imagedata r:id="rId45" o:title=""/>
                                </v:shape>
                                <o:OLEObject Type="Embed" ProgID="Equation.3" ShapeID="_x0000_i1044" DrawAspect="Content" ObjectID="_1540980664" r:id="rId46"/>
                              </w:object>
                            </w:r>
                            <w:r>
                              <w:t xml:space="preserve">if resource element </w:t>
                            </w:r>
                            <w:r w:rsidRPr="001219A4">
                              <w:rPr>
                                <w:position w:val="-10"/>
                              </w:rPr>
                              <w:object w:dxaOrig="580" w:dyaOrig="320">
                                <v:shape id="_x0000_i1045" type="#_x0000_t75" style="width:28.7pt;height:15.9pt" o:ole="">
                                  <v:imagedata r:id="rId47" o:title=""/>
                                </v:shape>
                                <o:OLEObject Type="Embed" ProgID="Equation.3" ShapeID="_x0000_i1045" DrawAspect="Content" ObjectID="_1540980665" r:id="rId48"/>
                              </w:object>
                            </w:r>
                            <w:r>
                              <w:t>is used for</w:t>
                            </w:r>
                            <w:r w:rsidRPr="00D06239">
                              <w:t xml:space="preserve"> </w:t>
                            </w:r>
                            <w:r>
                              <w:t xml:space="preserve">Narrowband 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  <w:r>
                              <w:t xml:space="preserve">, and 0 otherwise, and </w:t>
                            </w:r>
                            <w:r w:rsidRPr="00E140F4">
                              <w:rPr>
                                <w:position w:val="-12"/>
                              </w:rPr>
                              <w:object w:dxaOrig="700" w:dyaOrig="360">
                                <v:shape id="_x0000_i1046" type="#_x0000_t75" style="width:34.9pt;height:18.55pt" o:ole="">
                                  <v:imagedata r:id="rId49" o:title=""/>
                                </v:shape>
                                <o:OLEObject Type="Embed" ProgID="Equation.3" ShapeID="_x0000_i1046" DrawAspect="Content" ObjectID="_1540980666" r:id="rId50"/>
                              </w:object>
                            </w:r>
                            <w:r>
                              <w:t xml:space="preserve"> is the frequency location of the center of the Narrowband 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  <w:r>
                              <w:t xml:space="preserve"> PRB minus the frequency location of the center of the LTE signal.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5E8A8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0.15pt;height:36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">
                <v:textbox style="mso-fit-shape-to-text:t">
                  <w:txbxContent>
                    <w:p w:rsidR="00F554BA" w:rsidRPr="0034159C" w:rsidRDefault="00F554BA" w:rsidP="00F554BA">
                      <w:pPr>
                        <w:spacing w:after="120"/>
                        <w:rPr>
                          <w:color w:val="0000FF"/>
                        </w:rPr>
                      </w:pPr>
                      <w:r w:rsidRPr="0034159C">
                        <w:rPr>
                          <w:color w:val="0000FF"/>
                        </w:rPr>
                        <w:t>Definition A:</w:t>
                      </w:r>
                    </w:p>
                    <w:p w:rsidR="00F554BA" w:rsidRDefault="00F554BA" w:rsidP="00F554BA">
                      <w:pPr>
                        <w:spacing w:after="120"/>
                      </w:pPr>
                      <w:r>
                        <w:t xml:space="preserve">If the higher layer parameter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operationModeInfo</w:t>
                      </w:r>
                      <w:proofErr w:type="spellEnd"/>
                      <w:r>
                        <w:t xml:space="preserve"> does not indicate ‘</w:t>
                      </w:r>
                      <w:proofErr w:type="spellStart"/>
                      <w:r w:rsidRPr="003A5133">
                        <w:rPr>
                          <w:i/>
                        </w:rPr>
                        <w:t>inband-SamePCI</w:t>
                      </w:r>
                      <w:proofErr w:type="spellEnd"/>
                      <w:r>
                        <w:t>’</w:t>
                      </w:r>
                      <w:r w:rsidRPr="001C5B60">
                        <w:rPr>
                          <w:rFonts w:hint="eastAsia"/>
                        </w:rPr>
                        <w:t xml:space="preserve"> </w:t>
                      </w:r>
                      <w:r>
                        <w:t>and</w:t>
                      </w:r>
                      <w:r w:rsidRPr="001C5B60">
                        <w:rPr>
                          <w:rFonts w:hint="eastAsia"/>
                        </w:rPr>
                        <w:t xml:space="preserve"> </w:t>
                      </w:r>
                      <w:proofErr w:type="spellStart"/>
                      <w:r w:rsidRPr="00C7465E">
                        <w:rPr>
                          <w:i/>
                        </w:rPr>
                        <w:t>samePCI</w:t>
                      </w:r>
                      <w:proofErr w:type="spellEnd"/>
                      <w:r w:rsidRPr="00C7465E">
                        <w:rPr>
                          <w:i/>
                        </w:rPr>
                        <w:t>-Indicator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does not indicate</w:t>
                      </w:r>
                      <w:r>
                        <w:rPr>
                          <w:rFonts w:hint="eastAsia"/>
                        </w:rPr>
                        <w:t xml:space="preserve"> '</w:t>
                      </w:r>
                      <w:proofErr w:type="spellStart"/>
                      <w:r w:rsidRPr="00C11397">
                        <w:rPr>
                          <w:i/>
                        </w:rPr>
                        <w:t>samePCI</w:t>
                      </w:r>
                      <w:proofErr w:type="spellEnd"/>
                      <w:r w:rsidRPr="001C5B60">
                        <w:rPr>
                          <w:rFonts w:hint="eastAsia"/>
                          <w:i/>
                        </w:rPr>
                        <w:t>'</w:t>
                      </w:r>
                      <w:r>
                        <w:t>, then t</w:t>
                      </w:r>
                      <w:r w:rsidRPr="00C12953">
                        <w:t xml:space="preserve">he time-continuous signal </w:t>
                      </w:r>
                      <w:r w:rsidRPr="00C12953">
                        <w:rPr>
                          <w:position w:val="-12"/>
                        </w:rPr>
                        <w:object w:dxaOrig="580" w:dyaOrig="360">
                          <v:shape id="_x0000_i1025" type="#_x0000_t75" style="width:28.7pt;height:18.55pt" o:ole="">
                            <v:imagedata r:id="rId8" o:title=""/>
                          </v:shape>
                          <o:OLEObject Type="Embed" ProgID="Equation.3" ShapeID="_x0000_i1025" DrawAspect="Content" ObjectID="_1540980645" r:id="rId51"/>
                        </w:object>
                      </w:r>
                      <w:r w:rsidRPr="00C12953">
                        <w:t xml:space="preserve"> on </w:t>
                      </w:r>
                      <w:r>
                        <w:t>antenna port</w:t>
                      </w:r>
                      <w:r w:rsidRPr="00C12953">
                        <w:t xml:space="preserve"> </w:t>
                      </w:r>
                      <w:r w:rsidRPr="00C12953">
                        <w:rPr>
                          <w:position w:val="-10"/>
                        </w:rPr>
                        <w:object w:dxaOrig="200" w:dyaOrig="240">
                          <v:shape id="_x0000_i1026" type="#_x0000_t75" style="width:9.7pt;height:11.95pt" o:ole="">
                            <v:imagedata r:id="rId10" o:title=""/>
                          </v:shape>
                          <o:OLEObject Type="Embed" ProgID="Equation.3" ShapeID="_x0000_i1026" DrawAspect="Content" ObjectID="_1540980646" r:id="rId52"/>
                        </w:object>
                      </w:r>
                      <w:r w:rsidRPr="00C12953">
                        <w:t xml:space="preserve"> in OFDM symbol </w:t>
                      </w:r>
                      <w:r w:rsidRPr="00C12953">
                        <w:rPr>
                          <w:position w:val="-6"/>
                        </w:rPr>
                        <w:object w:dxaOrig="139" w:dyaOrig="260">
                          <v:shape id="_x0000_i1027" type="#_x0000_t75" style="width:6.2pt;height:12.8pt" o:ole="">
                            <v:imagedata r:id="rId12" o:title=""/>
                          </v:shape>
                          <o:OLEObject Type="Embed" ProgID="Equation.3" ShapeID="_x0000_i1027" DrawAspect="Content" ObjectID="_1540980647" r:id="rId53"/>
                        </w:object>
                      </w:r>
                      <w:r w:rsidRPr="00C12953">
                        <w:t xml:space="preserve"> in a downlink slot is defined by </w:t>
                      </w:r>
                    </w:p>
                    <w:p w:rsidR="00F554BA" w:rsidRDefault="00F554BA" w:rsidP="00F554BA">
                      <w:pPr>
                        <w:pStyle w:val="EQ"/>
                        <w:spacing w:after="120"/>
                        <w:jc w:val="center"/>
                      </w:pPr>
                      <w:r w:rsidRPr="004B01E6">
                        <w:rPr>
                          <w:position w:val="-34"/>
                        </w:rPr>
                        <w:object w:dxaOrig="3739" w:dyaOrig="780">
                          <v:shape id="_x0000_i1028" type="#_x0000_t75" style="width:186.85pt;height:38.45pt" o:ole="">
                            <v:imagedata r:id="rId14" o:title=""/>
                          </v:shape>
                          <o:OLEObject Type="Embed" ProgID="Equation.3" ShapeID="_x0000_i1028" DrawAspect="Content" ObjectID="_1540980648" r:id="rId54"/>
                        </w:object>
                      </w:r>
                    </w:p>
                    <w:p w:rsidR="00F554BA" w:rsidRDefault="00F554BA" w:rsidP="00F554BA">
                      <w:pPr>
                        <w:spacing w:after="120"/>
                      </w:pPr>
                      <w:proofErr w:type="gramStart"/>
                      <w:r w:rsidRPr="00C12953">
                        <w:t>for</w:t>
                      </w:r>
                      <w:proofErr w:type="gramEnd"/>
                      <w:r w:rsidRPr="00C12953">
                        <w:rPr>
                          <w:position w:val="-12"/>
                          <w:sz w:val="10"/>
                          <w:szCs w:val="10"/>
                        </w:rPr>
                        <w:object w:dxaOrig="1840" w:dyaOrig="320">
                          <v:shape id="_x0000_i1029" type="#_x0000_t75" style="width:92.3pt;height:15.9pt" o:ole="">
                            <v:imagedata r:id="rId16" o:title=""/>
                          </v:shape>
                          <o:OLEObject Type="Embed" ProgID="Equation.3" ShapeID="_x0000_i1029" DrawAspect="Content" ObjectID="_1540980649" r:id="rId55"/>
                        </w:object>
                      </w:r>
                      <w:r w:rsidRPr="00C12953">
                        <w:t xml:space="preserve"> </w:t>
                      </w:r>
                      <w:r>
                        <w:t xml:space="preserve">where </w:t>
                      </w:r>
                      <w:r w:rsidRPr="00620CA2">
                        <w:rPr>
                          <w:position w:val="-10"/>
                        </w:rPr>
                        <w:object w:dxaOrig="1600" w:dyaOrig="340">
                          <v:shape id="_x0000_i1030" type="#_x0000_t75" style="width:79.5pt;height:17.25pt" o:ole="">
                            <v:imagedata r:id="rId18" o:title=""/>
                          </v:shape>
                          <o:OLEObject Type="Embed" ProgID="Equation.3" ShapeID="_x0000_i1030" DrawAspect="Content" ObjectID="_1540980650" r:id="rId56"/>
                        </w:object>
                      </w:r>
                      <w:r>
                        <w:t xml:space="preserve">, </w:t>
                      </w:r>
                      <w:r w:rsidRPr="00C7537A">
                        <w:rPr>
                          <w:position w:val="-6"/>
                        </w:rPr>
                        <w:object w:dxaOrig="840" w:dyaOrig="240">
                          <v:shape id="_x0000_i1031" type="#_x0000_t75" style="width:41.95pt;height:11.95pt" o:ole="">
                            <v:imagedata r:id="rId20" o:title=""/>
                          </v:shape>
                          <o:OLEObject Type="Embed" ProgID="Equation.3" ShapeID="_x0000_i1031" DrawAspect="Content" ObjectID="_1540980651" r:id="rId57"/>
                        </w:object>
                      </w:r>
                      <w:r>
                        <w:t xml:space="preserve">, </w:t>
                      </w:r>
                      <w:r w:rsidRPr="004972BC">
                        <w:rPr>
                          <w:position w:val="-10"/>
                        </w:rPr>
                        <w:object w:dxaOrig="1060" w:dyaOrig="300">
                          <v:shape id="_x0000_i1032" type="#_x0000_t75" style="width:53.45pt;height:15pt" o:ole="">
                            <v:imagedata r:id="rId22" o:title=""/>
                          </v:shape>
                          <o:OLEObject Type="Embed" ProgID="Equation.3" ShapeID="_x0000_i1032" DrawAspect="Content" ObjectID="_1540980652" r:id="rId58"/>
                        </w:object>
                      </w:r>
                      <w:r w:rsidRPr="00AC0046">
                        <w:t xml:space="preserve"> </w:t>
                      </w:r>
                      <w:r>
                        <w:t xml:space="preserve">and </w:t>
                      </w:r>
                      <w:r>
                        <w:rPr>
                          <w:position w:val="-14"/>
                        </w:rPr>
                        <w:object w:dxaOrig="400" w:dyaOrig="380">
                          <v:shape id="_x0000_i1033" type="#_x0000_t75" style="width:20.3pt;height:18.55pt" o:ole="">
                            <v:imagedata r:id="rId24" o:title=""/>
                          </v:shape>
                          <o:OLEObject Type="Embed" ProgID="Equation.3" ShapeID="_x0000_i1033" DrawAspect="Content" ObjectID="_1540980653" r:id="rId59"/>
                        </w:object>
                      </w:r>
                      <w:r>
                        <w:t xml:space="preserve"> is the content of resource element </w:t>
                      </w:r>
                      <w:r w:rsidRPr="00A55985">
                        <w:rPr>
                          <w:position w:val="-10"/>
                        </w:rPr>
                        <w:object w:dxaOrig="440" w:dyaOrig="300">
                          <v:shape id="_x0000_i1034" type="#_x0000_t75" style="width:22.1pt;height:15pt" o:ole="">
                            <v:imagedata r:id="rId26" o:title=""/>
                          </v:shape>
                          <o:OLEObject Type="Embed" ProgID="Equation.3" ShapeID="_x0000_i1034" DrawAspect="Content" ObjectID="_1540980654" r:id="rId60"/>
                        </w:object>
                      </w:r>
                      <w:r>
                        <w:t xml:space="preserve"> on antenna port </w:t>
                      </w:r>
                      <w:r>
                        <w:rPr>
                          <w:position w:val="-10"/>
                        </w:rPr>
                        <w:object w:dxaOrig="200" w:dyaOrig="240">
                          <v:shape id="_x0000_i1035" type="#_x0000_t75" style="width:9.7pt;height:11.95pt" o:ole="">
                            <v:imagedata r:id="rId28" o:title=""/>
                          </v:shape>
                          <o:OLEObject Type="Embed" ProgID="Equation.3" ShapeID="_x0000_i1035" DrawAspect="Content" ObjectID="_1540980655" r:id="rId61"/>
                        </w:object>
                      </w:r>
                      <w:r w:rsidRPr="00C12953">
                        <w:t>.</w:t>
                      </w:r>
                      <w:r w:rsidRPr="007E333D">
                        <w:t xml:space="preserve"> </w:t>
                      </w:r>
                    </w:p>
                    <w:p w:rsidR="00F554BA" w:rsidRPr="0034159C" w:rsidRDefault="00F554BA" w:rsidP="00F554BA">
                      <w:pPr>
                        <w:spacing w:after="120"/>
                        <w:rPr>
                          <w:color w:val="0000FF"/>
                        </w:rPr>
                      </w:pPr>
                      <w:r w:rsidRPr="0034159C">
                        <w:rPr>
                          <w:color w:val="0000FF"/>
                        </w:rPr>
                        <w:t xml:space="preserve">Definition </w:t>
                      </w:r>
                      <w:r>
                        <w:rPr>
                          <w:color w:val="0000FF"/>
                        </w:rPr>
                        <w:t>B</w:t>
                      </w:r>
                      <w:r w:rsidRPr="0034159C">
                        <w:rPr>
                          <w:color w:val="0000FF"/>
                        </w:rPr>
                        <w:t>:</w:t>
                      </w:r>
                    </w:p>
                    <w:p w:rsidR="00F554BA" w:rsidRDefault="00F554BA" w:rsidP="00F554BA">
                      <w:pPr>
                        <w:spacing w:after="120"/>
                      </w:pPr>
                      <w:r>
                        <w:t xml:space="preserve">If the higher layer parameter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operationModeInfo</w:t>
                      </w:r>
                      <w:proofErr w:type="spellEnd"/>
                      <w:r>
                        <w:t xml:space="preserve"> indicates ‘</w:t>
                      </w:r>
                      <w:proofErr w:type="spellStart"/>
                      <w:r w:rsidRPr="003A5133">
                        <w:rPr>
                          <w:i/>
                        </w:rPr>
                        <w:t>inband-SamePCI</w:t>
                      </w:r>
                      <w:proofErr w:type="spellEnd"/>
                      <w:r>
                        <w:t>’</w:t>
                      </w:r>
                      <w:r w:rsidRPr="001C5B60">
                        <w:rPr>
                          <w:rFonts w:hint="eastAsia"/>
                        </w:rPr>
                        <w:t xml:space="preserve"> or </w:t>
                      </w:r>
                      <w:proofErr w:type="spellStart"/>
                      <w:r w:rsidRPr="005F2C0C">
                        <w:rPr>
                          <w:i/>
                        </w:rPr>
                        <w:t>samePCI</w:t>
                      </w:r>
                      <w:proofErr w:type="spellEnd"/>
                      <w:r w:rsidRPr="005F2C0C">
                        <w:rPr>
                          <w:i/>
                        </w:rPr>
                        <w:t>-Indicator</w:t>
                      </w:r>
                      <w:r>
                        <w:rPr>
                          <w:rFonts w:hint="eastAsia"/>
                        </w:rPr>
                        <w:t xml:space="preserve"> indicate '</w:t>
                      </w:r>
                      <w:proofErr w:type="spellStart"/>
                      <w:r w:rsidRPr="00C11397">
                        <w:rPr>
                          <w:i/>
                        </w:rPr>
                        <w:t>samePCI</w:t>
                      </w:r>
                      <w:proofErr w:type="spellEnd"/>
                      <w:r w:rsidRPr="001C5B60">
                        <w:rPr>
                          <w:rFonts w:hint="eastAsia"/>
                          <w:i/>
                        </w:rPr>
                        <w:t>'</w:t>
                      </w:r>
                      <w:r>
                        <w:t>, then t</w:t>
                      </w:r>
                      <w:r w:rsidRPr="00C12953">
                        <w:t xml:space="preserve">he time-continuous signal </w:t>
                      </w:r>
                      <w:r w:rsidRPr="00C12953">
                        <w:rPr>
                          <w:position w:val="-12"/>
                        </w:rPr>
                        <w:object w:dxaOrig="639" w:dyaOrig="380">
                          <v:shape id="_x0000_i1036" type="#_x0000_t75" style="width:32.25pt;height:18.55pt" o:ole="">
                            <v:imagedata r:id="rId30" o:title=""/>
                          </v:shape>
                          <o:OLEObject Type="Embed" ProgID="Equation.3" ShapeID="_x0000_i1036" DrawAspect="Content" ObjectID="_1540980656" r:id="rId62"/>
                        </w:object>
                      </w:r>
                      <w:r w:rsidRPr="00C12953">
                        <w:t xml:space="preserve"> on </w:t>
                      </w:r>
                      <w:r>
                        <w:t>antenna port</w:t>
                      </w:r>
                      <w:r w:rsidRPr="00C12953">
                        <w:t xml:space="preserve"> </w:t>
                      </w:r>
                      <w:r w:rsidRPr="00C12953">
                        <w:rPr>
                          <w:position w:val="-10"/>
                        </w:rPr>
                        <w:object w:dxaOrig="200" w:dyaOrig="240">
                          <v:shape id="_x0000_i1037" type="#_x0000_t75" style="width:9.7pt;height:11.95pt" o:ole="">
                            <v:imagedata r:id="rId10" o:title=""/>
                          </v:shape>
                          <o:OLEObject Type="Embed" ProgID="Equation.3" ShapeID="_x0000_i1037" DrawAspect="Content" ObjectID="_1540980657" r:id="rId63"/>
                        </w:object>
                      </w:r>
                      <w:r w:rsidRPr="00C12953">
                        <w:t xml:space="preserve"> in OFDM </w:t>
                      </w:r>
                      <w:proofErr w:type="gramStart"/>
                      <w:r w:rsidRPr="00C12953">
                        <w:t xml:space="preserve">symbol </w:t>
                      </w:r>
                      <w:proofErr w:type="gramEnd"/>
                      <w:r w:rsidRPr="00C12953">
                        <w:rPr>
                          <w:position w:val="-6"/>
                        </w:rPr>
                        <w:object w:dxaOrig="180" w:dyaOrig="279">
                          <v:shape id="_x0000_i1038" type="#_x0000_t75" style="width:8.85pt;height:13.7pt" o:ole="">
                            <v:imagedata r:id="rId33" o:title=""/>
                          </v:shape>
                          <o:OLEObject Type="Embed" ProgID="Equation.3" ShapeID="_x0000_i1038" DrawAspect="Content" ObjectID="_1540980658" r:id="rId64"/>
                        </w:object>
                      </w:r>
                      <w:r>
                        <w:t xml:space="preserve">, where </w:t>
                      </w:r>
                      <w:r w:rsidRPr="005D29BF">
                        <w:rPr>
                          <w:position w:val="-14"/>
                        </w:rPr>
                        <w:object w:dxaOrig="3460" w:dyaOrig="400">
                          <v:shape id="_x0000_i1039" type="#_x0000_t75" style="width:172.25pt;height:20.3pt" o:ole="">
                            <v:imagedata r:id="rId35" o:title=""/>
                          </v:shape>
                          <o:OLEObject Type="Embed" ProgID="Equation.3" ShapeID="_x0000_i1039" DrawAspect="Content" ObjectID="_1540980659" r:id="rId65"/>
                        </w:object>
                      </w:r>
                      <w:r>
                        <w:t>is the OFDM symbol index from the start of the last even-numbered subframe, is defined by</w:t>
                      </w:r>
                    </w:p>
                    <w:p w:rsidR="00F554BA" w:rsidRDefault="00F554BA" w:rsidP="00F554BA">
                      <w:pPr>
                        <w:spacing w:after="120"/>
                        <w:jc w:val="center"/>
                      </w:pPr>
                      <w:r w:rsidRPr="005D29BF">
                        <w:rPr>
                          <w:position w:val="-34"/>
                        </w:rPr>
                        <w:object w:dxaOrig="9139" w:dyaOrig="859">
                          <v:shape id="_x0000_i1040" type="#_x0000_t75" style="width:456.75pt;height:42.85pt" o:ole="">
                            <v:imagedata r:id="rId37" o:title=""/>
                          </v:shape>
                          <o:OLEObject Type="Embed" ProgID="Equation.3" ShapeID="_x0000_i1040" DrawAspect="Content" ObjectID="_1540980660" r:id="rId66"/>
                        </w:object>
                      </w:r>
                    </w:p>
                    <w:p w:rsidR="00F554BA" w:rsidRPr="00A27174" w:rsidRDefault="00F554BA" w:rsidP="00F554BA">
                      <w:pPr>
                        <w:spacing w:after="120"/>
                      </w:pPr>
                      <w:proofErr w:type="gramStart"/>
                      <w:r w:rsidRPr="00C12953">
                        <w:t>for</w:t>
                      </w:r>
                      <w:proofErr w:type="gramEnd"/>
                      <w:r w:rsidRPr="00C12953">
                        <w:t xml:space="preserve"> </w:t>
                      </w:r>
                      <w:r w:rsidRPr="00C12953">
                        <w:rPr>
                          <w:position w:val="-12"/>
                          <w:sz w:val="10"/>
                          <w:szCs w:val="10"/>
                        </w:rPr>
                        <w:object w:dxaOrig="1840" w:dyaOrig="320">
                          <v:shape id="_x0000_i1041" type="#_x0000_t75" style="width:92.3pt;height:15.9pt" o:ole="">
                            <v:imagedata r:id="rId39" o:title=""/>
                          </v:shape>
                          <o:OLEObject Type="Embed" ProgID="Equation.3" ShapeID="_x0000_i1041" DrawAspect="Content" ObjectID="_1540980661" r:id="rId67"/>
                        </w:object>
                      </w:r>
                      <w:r w:rsidRPr="00C12953">
                        <w:t xml:space="preserve">   where </w:t>
                      </w:r>
                      <w:r w:rsidRPr="00C12953">
                        <w:rPr>
                          <w:position w:val="-10"/>
                        </w:rPr>
                        <w:object w:dxaOrig="1960" w:dyaOrig="340">
                          <v:shape id="_x0000_i1042" type="#_x0000_t75" style="width:98.5pt;height:17.25pt" o:ole="">
                            <v:imagedata r:id="rId41" o:title=""/>
                          </v:shape>
                          <o:OLEObject Type="Embed" ProgID="Equation.3" ShapeID="_x0000_i1042" DrawAspect="Content" ObjectID="_1540980662" r:id="rId68"/>
                        </w:object>
                      </w:r>
                      <w:r w:rsidRPr="00C12953">
                        <w:t xml:space="preserve"> and</w:t>
                      </w:r>
                      <w:r w:rsidRPr="00C12953">
                        <w:rPr>
                          <w:position w:val="-10"/>
                        </w:rPr>
                        <w:object w:dxaOrig="2220" w:dyaOrig="340">
                          <v:shape id="_x0000_i1043" type="#_x0000_t75" style="width:110.85pt;height:17.25pt" o:ole="">
                            <v:imagedata r:id="rId43" o:title=""/>
                          </v:shape>
                          <o:OLEObject Type="Embed" ProgID="Equation.3" ShapeID="_x0000_i1043" DrawAspect="Content" ObjectID="_1540980663" r:id="rId69"/>
                        </w:object>
                      </w:r>
                      <w:r>
                        <w:t xml:space="preserve">, </w:t>
                      </w:r>
                      <w:r w:rsidRPr="00FB5D25">
                        <w:rPr>
                          <w:position w:val="-30"/>
                        </w:rPr>
                        <w:object w:dxaOrig="3700" w:dyaOrig="720">
                          <v:shape id="_x0000_i1044" type="#_x0000_t75" style="width:185.5pt;height:36.2pt" o:ole="">
                            <v:imagedata r:id="rId45" o:title=""/>
                          </v:shape>
                          <o:OLEObject Type="Embed" ProgID="Equation.3" ShapeID="_x0000_i1044" DrawAspect="Content" ObjectID="_1540980664" r:id="rId70"/>
                        </w:object>
                      </w:r>
                      <w:r>
                        <w:t xml:space="preserve">if resource element </w:t>
                      </w:r>
                      <w:r w:rsidRPr="001219A4">
                        <w:rPr>
                          <w:position w:val="-10"/>
                        </w:rPr>
                        <w:object w:dxaOrig="580" w:dyaOrig="320">
                          <v:shape id="_x0000_i1045" type="#_x0000_t75" style="width:28.7pt;height:15.9pt" o:ole="">
                            <v:imagedata r:id="rId47" o:title=""/>
                          </v:shape>
                          <o:OLEObject Type="Embed" ProgID="Equation.3" ShapeID="_x0000_i1045" DrawAspect="Content" ObjectID="_1540980665" r:id="rId71"/>
                        </w:object>
                      </w:r>
                      <w:r>
                        <w:t>is used for</w:t>
                      </w:r>
                      <w:r w:rsidRPr="00D06239">
                        <w:t xml:space="preserve"> </w:t>
                      </w:r>
                      <w:r>
                        <w:t xml:space="preserve">Narrowband 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 xml:space="preserve">, and 0 otherwise, and </w:t>
                      </w:r>
                      <w:r w:rsidRPr="00E140F4">
                        <w:rPr>
                          <w:position w:val="-12"/>
                        </w:rPr>
                        <w:object w:dxaOrig="700" w:dyaOrig="360">
                          <v:shape id="_x0000_i1046" type="#_x0000_t75" style="width:34.9pt;height:18.55pt" o:ole="">
                            <v:imagedata r:id="rId49" o:title=""/>
                          </v:shape>
                          <o:OLEObject Type="Embed" ProgID="Equation.3" ShapeID="_x0000_i1046" DrawAspect="Content" ObjectID="_1540980666" r:id="rId72"/>
                        </w:object>
                      </w:r>
                      <w:r>
                        <w:t xml:space="preserve"> is the frequency location of the center of the Narrowband 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 xml:space="preserve"> PRB minus the frequency location of the center of the LTE signal.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7448C" w:rsidRDefault="0097448C" w:rsidP="00F554BA">
      <w:pPr>
        <w:spacing w:after="120"/>
        <w:rPr>
          <w:lang w:val="en-GB" w:eastAsia="en-US"/>
        </w:rPr>
      </w:pPr>
    </w:p>
    <w:p w:rsidR="00F554BA" w:rsidRPr="00F554BA" w:rsidRDefault="00F554BA" w:rsidP="00F554BA">
      <w:pPr>
        <w:spacing w:after="120"/>
        <w:rPr>
          <w:lang w:val="en-GB" w:eastAsia="en-US"/>
        </w:rPr>
      </w:pPr>
      <w:r>
        <w:rPr>
          <w:lang w:val="en-GB" w:eastAsia="en-US"/>
        </w:rPr>
        <w:t>TS36.331</w:t>
      </w:r>
      <w:r w:rsidR="0097448C">
        <w:rPr>
          <w:lang w:val="en-GB" w:eastAsia="en-US"/>
        </w:rPr>
        <w:t xml:space="preserve"> V13.3.0</w:t>
      </w:r>
    </w:p>
    <w:p w:rsidR="003C561E" w:rsidRPr="00503702" w:rsidRDefault="003C561E" w:rsidP="003C561E">
      <w:pPr>
        <w:pStyle w:val="TH"/>
        <w:spacing w:after="120"/>
        <w:rPr>
          <w:bCs/>
          <w:i/>
          <w:iCs/>
          <w:noProof/>
        </w:rPr>
      </w:pPr>
      <w:r w:rsidRPr="00503702">
        <w:rPr>
          <w:bCs/>
          <w:i/>
          <w:iCs/>
          <w:noProof/>
        </w:rPr>
        <w:t xml:space="preserve">CarrierConfigDedicated-NB </w:t>
      </w:r>
      <w:r w:rsidRPr="00DE67C1">
        <w:rPr>
          <w:bCs/>
          <w:iCs/>
          <w:noProof/>
        </w:rPr>
        <w:t>information elements</w:t>
      </w: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  <w:r w:rsidRPr="00D05729">
        <w:t xml:space="preserve">-- </w:t>
      </w:r>
      <w:r>
        <w:t>ASN1START</w:t>
      </w: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  <w:r w:rsidRPr="009141A2">
        <w:rPr>
          <w:highlight w:val="yellow"/>
        </w:rPr>
        <w:t>CarrierConfigDedicated-NB</w:t>
      </w:r>
      <w:r>
        <w:t>-r13</w:t>
      </w:r>
      <w:r w:rsidRPr="00D05729">
        <w:t xml:space="preserve"> ::=</w:t>
      </w:r>
      <w:r w:rsidRPr="00D05729">
        <w:tab/>
      </w:r>
      <w:r w:rsidRPr="00D05729">
        <w:tab/>
        <w:t>SEQUENCE {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  <w:t>dl-CarrierConfig-r13</w:t>
      </w:r>
      <w:r>
        <w:tab/>
      </w:r>
      <w:r>
        <w:tab/>
        <w:t>DL-CarrierConfigDedicated-NB-r13,</w:t>
      </w: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  <w:r>
        <w:tab/>
        <w:t>ul-CarrierConfig-r13</w:t>
      </w:r>
      <w:r>
        <w:tab/>
      </w:r>
      <w:r>
        <w:tab/>
        <w:t>UL-CarrierConfigDedicated-NB-r13</w:t>
      </w: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  <w:r w:rsidRPr="00D05729">
        <w:t>}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>DL-Carrier</w:t>
      </w:r>
      <w:r w:rsidRPr="00D05729">
        <w:t>Config</w:t>
      </w:r>
      <w:r>
        <w:t>Dedicated-NB-r13 ::=</w:t>
      </w:r>
      <w:r w:rsidRPr="00D05729">
        <w:tab/>
        <w:t>SEQUENCE {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  <w:t>dl-CarrierFreq-r13</w:t>
      </w:r>
      <w:r>
        <w:tab/>
      </w:r>
      <w:r>
        <w:tab/>
      </w:r>
      <w:r>
        <w:tab/>
      </w:r>
      <w:r>
        <w:tab/>
      </w:r>
      <w:r>
        <w:tab/>
      </w:r>
      <w:r>
        <w:tab/>
        <w:t>CarrierFreq-NB-r13,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  <w:t>downlinkBitmapNonAnchor-r13</w:t>
      </w:r>
      <w:r w:rsidRPr="00EC29EA">
        <w:tab/>
      </w:r>
      <w:r w:rsidRPr="00EC29EA">
        <w:tab/>
      </w:r>
      <w:r w:rsidRPr="00EC29EA">
        <w:tab/>
      </w:r>
      <w:r>
        <w:tab/>
      </w:r>
      <w:r w:rsidRPr="00EC29EA">
        <w:t>CHOICE {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EC29EA">
        <w:tab/>
        <w:t>useNoBitmap-r13</w:t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>
        <w:tab/>
      </w:r>
      <w:r w:rsidRPr="00EC29EA">
        <w:tab/>
        <w:t>NULL,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EC29EA">
        <w:tab/>
        <w:t>useAnchorBitmap-r13</w:t>
      </w:r>
      <w:r w:rsidRPr="00EC29EA">
        <w:tab/>
      </w:r>
      <w:r w:rsidRPr="00EC29EA">
        <w:tab/>
      </w:r>
      <w:r w:rsidRPr="00EC29EA">
        <w:tab/>
      </w:r>
      <w:r w:rsidRPr="00EC29EA">
        <w:tab/>
      </w:r>
      <w:r>
        <w:tab/>
      </w:r>
      <w:r w:rsidRPr="00EC29EA">
        <w:tab/>
        <w:t>NULL,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EC29EA">
        <w:tab/>
        <w:t>explicitBitmapConfiguration-r13</w:t>
      </w:r>
      <w:r w:rsidRPr="00EC29EA">
        <w:tab/>
      </w:r>
      <w:r>
        <w:tab/>
      </w:r>
      <w:r w:rsidRPr="00EC29EA">
        <w:tab/>
        <w:t>DL-Bitmap-NB-r13,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EC29EA">
        <w:tab/>
        <w:t>spare</w:t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>
        <w:tab/>
      </w:r>
      <w:r w:rsidRPr="00EC29EA">
        <w:tab/>
        <w:t>NULL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  <w:t>}</w:t>
      </w:r>
      <w:r w:rsidRPr="00EC29EA">
        <w:tab/>
      </w:r>
      <w:r w:rsidRPr="00EC29EA">
        <w:tab/>
        <w:t>OPTIONAL,</w:t>
      </w:r>
      <w:r w:rsidRPr="00EC29EA">
        <w:tab/>
        <w:t xml:space="preserve"> -- Need ON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  <w:t>dl-GapNonAnchor-r13</w:t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>
        <w:tab/>
      </w:r>
      <w:r w:rsidRPr="00EC29EA">
        <w:t>CHOICE {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EC29EA">
        <w:tab/>
        <w:t>useNoGap-r13</w:t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>
        <w:tab/>
      </w:r>
      <w:r w:rsidRPr="00EC29EA">
        <w:tab/>
        <w:t>NULL,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EC29EA">
        <w:tab/>
        <w:t>useAnchorGapConfig-r13</w:t>
      </w:r>
      <w:r w:rsidRPr="00EC29EA">
        <w:tab/>
      </w:r>
      <w:r w:rsidRPr="00EC29EA">
        <w:tab/>
      </w:r>
      <w:r w:rsidRPr="00EC29EA">
        <w:tab/>
      </w:r>
      <w:r>
        <w:tab/>
      </w:r>
      <w:r w:rsidRPr="00EC29EA">
        <w:tab/>
        <w:t>NULL,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EC29EA">
        <w:tab/>
        <w:t>explicitGapConfiguration-r13</w:t>
      </w:r>
      <w:r w:rsidRPr="00EC29EA">
        <w:tab/>
      </w:r>
      <w:r>
        <w:tab/>
      </w:r>
      <w:r w:rsidRPr="00EC29EA">
        <w:tab/>
        <w:t>DL-GapConfig-NB-r13,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EC29EA">
        <w:tab/>
        <w:t>spare</w:t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>
        <w:tab/>
      </w:r>
      <w:r w:rsidRPr="00EC29EA">
        <w:t>NULL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  <w:t>}</w:t>
      </w:r>
      <w:r w:rsidRPr="00EC29EA">
        <w:tab/>
      </w:r>
      <w:r w:rsidRPr="00EC29EA">
        <w:tab/>
        <w:t>OPTIONAL,</w:t>
      </w:r>
      <w:r w:rsidRPr="00EC29EA">
        <w:tab/>
        <w:t xml:space="preserve"> -- Need ON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 w:rsidRPr="00EC29EA">
        <w:tab/>
      </w:r>
      <w:r w:rsidRPr="009141A2">
        <w:rPr>
          <w:highlight w:val="yellow"/>
        </w:rPr>
        <w:t>inbandCarrierInfo</w:t>
      </w:r>
      <w:r w:rsidRPr="00EC29EA">
        <w:t>-r13</w:t>
      </w:r>
      <w:r w:rsidRPr="00EC29EA">
        <w:tab/>
      </w:r>
      <w:r w:rsidRPr="00EC29EA">
        <w:tab/>
      </w:r>
      <w:r w:rsidRPr="00EC29EA">
        <w:tab/>
        <w:t>SEQUENCE {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</w:r>
      <w:r>
        <w:tab/>
        <w:t>samePCI-Indicator-r13</w:t>
      </w:r>
      <w:r>
        <w:tab/>
      </w:r>
      <w:r>
        <w:tab/>
      </w:r>
      <w:r>
        <w:tab/>
        <w:t>CHOICE</w:t>
      </w:r>
      <w:r>
        <w:tab/>
        <w:t>{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</w:r>
      <w:r>
        <w:tab/>
      </w:r>
      <w:r>
        <w:tab/>
        <w:t>samePCI-r13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</w:t>
      </w:r>
      <w:r w:rsidRPr="00D05729">
        <w:t xml:space="preserve"> {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</w:r>
      <w:r>
        <w:tab/>
      </w:r>
      <w:r>
        <w:tab/>
      </w:r>
      <w:r>
        <w:tab/>
        <w:t>indexToMidPRB-r13</w:t>
      </w:r>
      <w:r>
        <w:tab/>
      </w:r>
      <w:r>
        <w:tab/>
      </w:r>
      <w:r>
        <w:tab/>
      </w:r>
      <w:r>
        <w:tab/>
        <w:t xml:space="preserve">INTEGER (-55..54) 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</w:r>
      <w:r>
        <w:tab/>
      </w:r>
      <w:r>
        <w:tab/>
        <w:t>},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</w:r>
      <w:r>
        <w:tab/>
      </w:r>
      <w:r>
        <w:tab/>
      </w:r>
      <w:r w:rsidRPr="00EC29EA">
        <w:t>different</w:t>
      </w:r>
      <w:r>
        <w:t>PCI-r13</w:t>
      </w:r>
      <w:r>
        <w:tab/>
      </w:r>
      <w:r>
        <w:tab/>
      </w:r>
      <w:r>
        <w:tab/>
      </w:r>
      <w:r>
        <w:tab/>
        <w:t>SEQUENCE</w:t>
      </w:r>
      <w:r w:rsidRPr="00D05729">
        <w:t xml:space="preserve"> {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</w:r>
      <w:r>
        <w:tab/>
      </w:r>
      <w:r>
        <w:tab/>
      </w:r>
      <w:r>
        <w:tab/>
      </w:r>
      <w:r w:rsidRPr="00EC29EA">
        <w:t>eutra-</w:t>
      </w:r>
      <w:r w:rsidRPr="002E7466">
        <w:t>Num</w:t>
      </w:r>
      <w:r w:rsidRPr="00EC29EA">
        <w:t>CRS-Ports-r13</w:t>
      </w:r>
      <w:r w:rsidRPr="00EC29EA">
        <w:tab/>
      </w:r>
      <w:r w:rsidRPr="00EC29EA">
        <w:tab/>
      </w:r>
      <w:r w:rsidRPr="00EC29EA">
        <w:tab/>
      </w:r>
      <w:r w:rsidRPr="00EC29EA">
        <w:rPr>
          <w:color w:val="000000"/>
        </w:rPr>
        <w:t>ENUMERATED {same, four}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</w:r>
      <w:r>
        <w:tab/>
      </w:r>
      <w:r>
        <w:tab/>
        <w:t>}</w:t>
      </w:r>
    </w:p>
    <w:p w:rsidR="003C561E" w:rsidRPr="00EC29EA" w:rsidRDefault="003C561E" w:rsidP="003C561E">
      <w:pPr>
        <w:pStyle w:val="PL"/>
        <w:shd w:val="clear" w:color="auto" w:fill="E6E6E6"/>
        <w:adjustRightInd w:val="0"/>
        <w:snapToGrid w:val="0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Pr="00EC29EA">
        <w:rPr>
          <w:lang w:val="sv-SE"/>
        </w:rPr>
        <w:t>}</w:t>
      </w:r>
      <w:r w:rsidRPr="00EC29EA">
        <w:t xml:space="preserve"> </w:t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</w:r>
      <w:r w:rsidRPr="00EC29EA">
        <w:tab/>
        <w:t>OPTIONAL</w:t>
      </w:r>
      <w:r w:rsidRPr="00EC29EA">
        <w:rPr>
          <w:lang w:val="sv-SE"/>
        </w:rPr>
        <w:t>,</w:t>
      </w:r>
      <w:r w:rsidRPr="00EC29EA">
        <w:tab/>
      </w:r>
      <w:r w:rsidRPr="00EC29EA">
        <w:tab/>
        <w:t>-- Cond anchor-guardband</w:t>
      </w:r>
    </w:p>
    <w:p w:rsidR="003C561E" w:rsidRPr="00CF3C20" w:rsidRDefault="003C561E" w:rsidP="003C561E">
      <w:pPr>
        <w:pStyle w:val="PL"/>
        <w:shd w:val="clear" w:color="auto" w:fill="E6E6E6"/>
        <w:adjustRightInd w:val="0"/>
        <w:snapToGrid w:val="0"/>
      </w:pPr>
      <w:r w:rsidRPr="00CF3C20">
        <w:lastRenderedPageBreak/>
        <w:tab/>
      </w:r>
      <w:r>
        <w:tab/>
      </w:r>
      <w:r w:rsidRPr="00EC29EA">
        <w:t>eutraControlRegionSize-r13</w:t>
      </w:r>
      <w:r w:rsidRPr="00EC29EA">
        <w:tab/>
      </w:r>
      <w:r w:rsidRPr="00EC29EA">
        <w:tab/>
      </w:r>
      <w:r w:rsidRPr="00EC29EA">
        <w:tab/>
        <w:t>ENUMERATED {n1, n2, n3}</w:t>
      </w:r>
      <w:r w:rsidRPr="00EC29EA">
        <w:tab/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 xml:space="preserve">-- Cond </w:t>
      </w:r>
      <w:r w:rsidRPr="00EC29EA">
        <w:t>non-anchor-</w:t>
      </w:r>
      <w:r>
        <w:t>inband</w:t>
      </w:r>
    </w:p>
    <w:p w:rsidR="003C561E" w:rsidRPr="00D36367" w:rsidRDefault="003C561E" w:rsidP="003C561E">
      <w:pPr>
        <w:pStyle w:val="PL"/>
        <w:shd w:val="clear" w:color="auto" w:fill="E6E6E6"/>
        <w:adjustRightInd w:val="0"/>
        <w:snapToGrid w:val="0"/>
      </w:pPr>
      <w:r w:rsidRPr="00D05729">
        <w:tab/>
        <w:t>...</w:t>
      </w:r>
      <w:r w:rsidRPr="00D36367">
        <w:t>,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rPr>
          <w:lang w:eastAsia="zh-CN"/>
        </w:rPr>
        <w:tab/>
      </w:r>
      <w:r w:rsidRPr="00D36367">
        <w:rPr>
          <w:rFonts w:hint="eastAsia"/>
          <w:lang w:eastAsia="zh-CN"/>
        </w:rPr>
        <w:t>[[</w:t>
      </w:r>
      <w:r>
        <w:rPr>
          <w:lang w:eastAsia="zh-CN"/>
        </w:rPr>
        <w:tab/>
      </w:r>
      <w:r w:rsidRPr="00D36367">
        <w:rPr>
          <w:rFonts w:hint="eastAsia"/>
        </w:rPr>
        <w:t>nrs-Power</w:t>
      </w:r>
      <w:r>
        <w:t>OffsetN</w:t>
      </w:r>
      <w:r>
        <w:rPr>
          <w:rFonts w:hint="eastAsia"/>
        </w:rPr>
        <w:t>on</w:t>
      </w:r>
      <w:r>
        <w:t>A</w:t>
      </w:r>
      <w:r w:rsidRPr="00D36367">
        <w:rPr>
          <w:rFonts w:hint="eastAsia"/>
        </w:rPr>
        <w:t>nchor-v13</w:t>
      </w:r>
      <w:r>
        <w:t>30</w:t>
      </w:r>
      <w:r>
        <w:tab/>
      </w:r>
      <w:r>
        <w:tab/>
        <w:t xml:space="preserve">ENUMERATED </w:t>
      </w:r>
      <w:r w:rsidRPr="00D36367">
        <w:t>{</w:t>
      </w:r>
      <w:r>
        <w:t>dB</w:t>
      </w:r>
      <w:r w:rsidRPr="00D36367">
        <w:t xml:space="preserve">-12, </w:t>
      </w:r>
      <w:r>
        <w:t>dB</w:t>
      </w:r>
      <w:r w:rsidRPr="00D36367">
        <w:t>-10,</w:t>
      </w:r>
      <w:r>
        <w:t xml:space="preserve"> dB</w:t>
      </w:r>
      <w:r w:rsidRPr="00D36367">
        <w:t xml:space="preserve">-8, </w:t>
      </w:r>
      <w:r>
        <w:t>dB</w:t>
      </w:r>
      <w:r w:rsidRPr="00D36367">
        <w:t xml:space="preserve">-6, 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</w:t>
      </w:r>
      <w:r w:rsidRPr="00D36367">
        <w:t>-4,</w:t>
      </w:r>
      <w:r>
        <w:t xml:space="preserve"> dB</w:t>
      </w:r>
      <w:r w:rsidRPr="00D36367">
        <w:t xml:space="preserve">-2, </w:t>
      </w:r>
      <w:r>
        <w:t>dB</w:t>
      </w:r>
      <w:r w:rsidRPr="00D36367">
        <w:t xml:space="preserve">0, </w:t>
      </w:r>
      <w:r>
        <w:t>dB</w:t>
      </w:r>
      <w:r w:rsidRPr="00D36367">
        <w:t>3</w:t>
      </w:r>
      <w:r>
        <w:t>}</w:t>
      </w:r>
      <w:r>
        <w:tab/>
      </w:r>
    </w:p>
    <w:p w:rsidR="003C561E" w:rsidRPr="00D36367" w:rsidRDefault="003C561E" w:rsidP="003C561E">
      <w:pPr>
        <w:pStyle w:val="PL"/>
        <w:shd w:val="clear" w:color="auto" w:fill="E6E6E6"/>
        <w:adjustRightInd w:val="0"/>
        <w:snapToGrid w:val="0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 </w:t>
      </w:r>
      <w:r>
        <w:tab/>
        <w:t>-- Need ON</w:t>
      </w:r>
      <w:r w:rsidRPr="00D36367">
        <w:rPr>
          <w:rFonts w:hint="eastAsia"/>
          <w:lang w:eastAsia="zh-CN"/>
        </w:rPr>
        <w:t xml:space="preserve"> </w:t>
      </w: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  <w:r w:rsidRPr="00D36367">
        <w:rPr>
          <w:lang w:eastAsia="zh-CN"/>
        </w:rPr>
        <w:tab/>
        <w:t>]]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>}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>UL-Carrier</w:t>
      </w:r>
      <w:r w:rsidRPr="00D05729">
        <w:t>Config</w:t>
      </w:r>
      <w:r>
        <w:t>Dedicated-NB-r13 ::=</w:t>
      </w:r>
      <w:r w:rsidRPr="00D05729">
        <w:tab/>
        <w:t>SEQUENCE {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  <w:r>
        <w:tab/>
        <w:t>ul-CarrierFreq-r13</w:t>
      </w:r>
      <w:r>
        <w:tab/>
      </w:r>
      <w:r>
        <w:tab/>
      </w:r>
      <w:r>
        <w:tab/>
        <w:t>CarrierFreq-NB-r13</w:t>
      </w:r>
      <w:r>
        <w:tab/>
      </w:r>
      <w:r>
        <w:tab/>
        <w:t>OPTIONAL,</w:t>
      </w:r>
      <w:r>
        <w:tab/>
        <w:t>-- Need OP</w:t>
      </w: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  <w:r w:rsidRPr="00D05729">
        <w:tab/>
        <w:t>...</w:t>
      </w: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  <w:r w:rsidRPr="00D05729">
        <w:t>}</w:t>
      </w:r>
    </w:p>
    <w:p w:rsidR="003C561E" w:rsidRDefault="003C561E" w:rsidP="003C561E">
      <w:pPr>
        <w:pStyle w:val="PL"/>
        <w:shd w:val="clear" w:color="auto" w:fill="E6E6E6"/>
        <w:adjustRightInd w:val="0"/>
        <w:snapToGrid w:val="0"/>
      </w:pPr>
    </w:p>
    <w:p w:rsidR="003C561E" w:rsidRPr="00D05729" w:rsidRDefault="003C561E" w:rsidP="003C561E">
      <w:pPr>
        <w:pStyle w:val="PL"/>
        <w:shd w:val="clear" w:color="auto" w:fill="E6E6E6"/>
        <w:adjustRightInd w:val="0"/>
        <w:snapToGrid w:val="0"/>
      </w:pPr>
      <w:r w:rsidRPr="00D05729">
        <w:t xml:space="preserve">-- </w:t>
      </w:r>
      <w:r>
        <w:t>ASN1STOP</w:t>
      </w:r>
    </w:p>
    <w:p w:rsidR="0034159C" w:rsidRPr="0034159C" w:rsidRDefault="0034159C" w:rsidP="0034159C">
      <w:pPr>
        <w:spacing w:after="120"/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36E74" w:rsidRPr="00336E74" w:rsidTr="00C535AD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120"/>
              <w:jc w:val="center"/>
              <w:rPr>
                <w:rFonts w:ascii="Arial" w:hAnsi="Arial" w:cs="Arial"/>
                <w:b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b/>
                <w:i/>
                <w:noProof/>
                <w:kern w:val="0"/>
                <w:sz w:val="18"/>
                <w:szCs w:val="20"/>
                <w:lang w:val="en-GB" w:eastAsia="x-none"/>
              </w:rPr>
              <w:t>CarrierConfigDedicated-NB</w:t>
            </w:r>
            <w:r w:rsidRPr="00336E74">
              <w:rPr>
                <w:rFonts w:ascii="Arial" w:hAnsi="Arial" w:cs="Arial"/>
                <w:b/>
                <w:iCs/>
                <w:noProof/>
                <w:kern w:val="0"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dl-CarrierConfig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Dow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n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link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 xml:space="preserve"> non-anchor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c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arrier used for all unicast transmissions.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dl-CarrierFreq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DL carrier frequency. The downlink carrier is not in a E-UTRA PRB which contains E-UTRA PSS/SSS/PBCH.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bCs/>
                <w:i/>
                <w:iCs/>
                <w:sz w:val="18"/>
                <w:szCs w:val="20"/>
                <w:lang w:val="en-GB" w:eastAsia="x-none"/>
              </w:rPr>
              <w:t>dl-GapNonAnchor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Downlink transmission gap configuration for the non-anchor carrier, see TS 36.211 [21, 10.2.3.4].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downlinkBitmapNonAnchor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>N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B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>-IoT downlink subframe configuration for downlink transmission on the non-anchor carrier. See TS 36.213 [23, 16.4].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eutraControlRegionSize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336E74">
              <w:rPr>
                <w:rFonts w:ascii="Arial" w:hAnsi="Arial" w:cs="Arial"/>
                <w:iCs/>
                <w:kern w:val="0"/>
                <w:sz w:val="18"/>
                <w:szCs w:val="20"/>
                <w:lang w:val="en-GB" w:eastAsia="x-none"/>
              </w:rPr>
              <w:t>If</w:t>
            </w:r>
            <w:r w:rsidRPr="00336E74">
              <w:rPr>
                <w:rFonts w:ascii="Arial" w:hAnsi="Arial" w:cs="Arial"/>
                <w:i/>
                <w:iCs/>
                <w:kern w:val="0"/>
                <w:sz w:val="18"/>
                <w:szCs w:val="20"/>
                <w:lang w:val="en-GB" w:eastAsia="x-none"/>
              </w:rPr>
              <w:t xml:space="preserve"> operationModeInfo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in MIB-NB is set to </w:t>
            </w:r>
            <w:r w:rsidRPr="00336E74">
              <w:rPr>
                <w:rFonts w:ascii="Arial" w:hAnsi="Arial" w:cs="Arial"/>
                <w:i/>
                <w:iCs/>
                <w:kern w:val="0"/>
                <w:sz w:val="18"/>
                <w:szCs w:val="20"/>
                <w:lang w:val="en-GB" w:eastAsia="x-none"/>
              </w:rPr>
              <w:t>inband-SamePCI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or </w:t>
            </w:r>
            <w:r w:rsidRPr="00336E74">
              <w:rPr>
                <w:rFonts w:ascii="Arial" w:hAnsi="Arial" w:cs="Arial"/>
                <w:i/>
                <w:iCs/>
                <w:kern w:val="0"/>
                <w:sz w:val="18"/>
                <w:szCs w:val="20"/>
                <w:lang w:val="en-GB" w:eastAsia="x-none"/>
              </w:rPr>
              <w:t>inband-DifferentPCI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, it should be set to the value broadcast in SIB1-NB.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eutra-NumCRS-Ports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inbandCarrierInfo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Provides the configuration of a non-anchor inband carrier. If absent, the configuration of the anchor carrier applies.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indexToMidPRB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The PRB index is signaled by offset from the middle of the EUTRA system.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nrs-PowerOffsetNonAnchor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Provides the downlink narrowband reference-signal EPRE offset of the non-anchor carrier relative to the downlink narrowband reference-signal EPRE of the anchor carrier, unit in dB. Value dB-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 xml:space="preserve">12 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corresponds to -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>12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dB, dB-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>10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corresponds to -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>10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 dB and so on.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zh-CN"/>
              </w:rPr>
              <w:t xml:space="preserve"> S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ee TS 36.213 [23, 16.2.2].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samePCI-Indicator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This parameter specifies whether the non-anchor carrier reuses the same PCI as the EUTRA carrier.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ul-CarrierConfig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Up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 xml:space="preserve">link 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non-anchor c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x-none"/>
              </w:rPr>
              <w:t>arrier used for all unicast transmissions</w:t>
            </w:r>
            <w:r w:rsidRPr="00336E74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</w:rPr>
              <w:t>.</w:t>
            </w: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 xml:space="preserve"> </w:t>
            </w:r>
          </w:p>
        </w:tc>
      </w:tr>
      <w:tr w:rsidR="00336E74" w:rsidRPr="00336E74" w:rsidTr="00C535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336E74">
              <w:rPr>
                <w:rFonts w:ascii="Arial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ul-CarrierFreq</w:t>
            </w:r>
          </w:p>
          <w:p w:rsidR="00336E74" w:rsidRPr="00336E74" w:rsidRDefault="00336E74" w:rsidP="00336E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 w:cs="Arial"/>
                <w:i/>
                <w:kern w:val="0"/>
                <w:sz w:val="18"/>
                <w:szCs w:val="20"/>
                <w:lang w:val="en-GB" w:eastAsia="en-GB"/>
              </w:rPr>
            </w:pPr>
            <w:r w:rsidRPr="00336E74">
              <w:rPr>
                <w:rFonts w:ascii="Arial" w:hAnsi="Arial" w:cs="Arial"/>
                <w:kern w:val="0"/>
                <w:sz w:val="18"/>
                <w:szCs w:val="20"/>
                <w:lang w:val="en-GB" w:eastAsia="en-GB"/>
              </w:rPr>
              <w:t>UL carrier frequency if absent, the same TX-RX frequency separation as for the anchor carrier applies.</w:t>
            </w:r>
          </w:p>
        </w:tc>
      </w:tr>
    </w:tbl>
    <w:p w:rsidR="00336E74" w:rsidRDefault="00336E74" w:rsidP="003461A2">
      <w:pPr>
        <w:spacing w:afterLines="0" w:after="0" w:line="264" w:lineRule="auto"/>
        <w:jc w:val="left"/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34159C" w:rsidTr="00133B70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4159C" w:rsidRDefault="0034159C" w:rsidP="00133B70">
            <w:pPr>
              <w:pStyle w:val="TAH"/>
              <w:spacing w:afterLines="0" w:after="0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4159C" w:rsidRDefault="0034159C" w:rsidP="00133B70">
            <w:pPr>
              <w:pStyle w:val="TAH"/>
              <w:spacing w:afterLines="0" w:after="0"/>
            </w:pPr>
            <w:r>
              <w:t>Explanation</w:t>
            </w:r>
          </w:p>
        </w:tc>
      </w:tr>
      <w:tr w:rsidR="0034159C" w:rsidTr="00133B7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4159C" w:rsidRDefault="0034159C" w:rsidP="00133B70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non-anchor-inband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4159C" w:rsidRDefault="0034159C" w:rsidP="00133B70">
            <w:pPr>
              <w:pStyle w:val="TAL"/>
            </w:pPr>
            <w:r>
              <w:t>The field is optionally present, need OP, if the non-anchor carrier is an inband carrier; otherwise it is not present.</w:t>
            </w:r>
          </w:p>
        </w:tc>
      </w:tr>
      <w:tr w:rsidR="0034159C" w:rsidTr="00133B7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4159C" w:rsidRDefault="0034159C" w:rsidP="00133B70">
            <w:pPr>
              <w:pStyle w:val="TAL"/>
              <w:rPr>
                <w:i/>
                <w:noProof/>
                <w:highlight w:val="green"/>
              </w:rPr>
            </w:pPr>
            <w:r>
              <w:rPr>
                <w:i/>
              </w:rPr>
              <w:t>anchor-guardband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34159C" w:rsidRDefault="0034159C" w:rsidP="00133B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field is mandatory present, if </w:t>
            </w:r>
            <w:r>
              <w:rPr>
                <w:i/>
              </w:rPr>
              <w:t xml:space="preserve">operationModeInfo </w:t>
            </w:r>
            <w:r>
              <w:t>is set to</w:t>
            </w:r>
            <w:r>
              <w:rPr>
                <w:i/>
              </w:rPr>
              <w:t xml:space="preserve"> guardband </w:t>
            </w:r>
            <w:r>
              <w:t>in the MIB</w:t>
            </w:r>
            <w:r>
              <w:rPr>
                <w:lang w:eastAsia="zh-CN"/>
              </w:rPr>
              <w:t>; otherwise it is not present.</w:t>
            </w:r>
          </w:p>
        </w:tc>
      </w:tr>
    </w:tbl>
    <w:p w:rsidR="0034159C" w:rsidRPr="00E11658" w:rsidRDefault="0034159C" w:rsidP="0034159C">
      <w:pPr>
        <w:spacing w:afterLines="0" w:after="0"/>
      </w:pPr>
    </w:p>
    <w:p w:rsidR="0034159C" w:rsidRPr="00C535AD" w:rsidRDefault="0034159C" w:rsidP="003461A2">
      <w:pPr>
        <w:spacing w:afterLines="0" w:after="0" w:line="264" w:lineRule="auto"/>
        <w:jc w:val="left"/>
      </w:pPr>
    </w:p>
    <w:sectPr w:rsidR="0034159C" w:rsidRPr="00C535AD" w:rsidSect="00122ABF">
      <w:footerReference w:type="even" r:id="rId73"/>
      <w:footerReference w:type="default" r:id="rId74"/>
      <w:footerReference w:type="first" r:id="rId75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8F9" w:rsidRDefault="009468F9" w:rsidP="00FE4763">
      <w:pPr>
        <w:spacing w:after="120"/>
      </w:pPr>
      <w:r>
        <w:separator/>
      </w:r>
    </w:p>
  </w:endnote>
  <w:endnote w:type="continuationSeparator" w:id="0">
    <w:p w:rsidR="009468F9" w:rsidRDefault="009468F9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8F9" w:rsidRDefault="009468F9" w:rsidP="00AF42B7">
      <w:pPr>
        <w:spacing w:after="120"/>
      </w:pPr>
      <w:r>
        <w:separator/>
      </w:r>
    </w:p>
  </w:footnote>
  <w:footnote w:type="continuationSeparator" w:id="0">
    <w:p w:rsidR="009468F9" w:rsidRDefault="009468F9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9078D"/>
    <w:multiLevelType w:val="hybridMultilevel"/>
    <w:tmpl w:val="7AA0B4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E114C"/>
    <w:multiLevelType w:val="hybridMultilevel"/>
    <w:tmpl w:val="6F187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95AEB"/>
    <w:multiLevelType w:val="hybridMultilevel"/>
    <w:tmpl w:val="6916EF42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838A2"/>
    <w:multiLevelType w:val="hybridMultilevel"/>
    <w:tmpl w:val="AD02C8FA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DD4EE8"/>
    <w:multiLevelType w:val="hybridMultilevel"/>
    <w:tmpl w:val="BF0E2A58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612960"/>
    <w:multiLevelType w:val="hybridMultilevel"/>
    <w:tmpl w:val="1D6C0FE4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C669E"/>
    <w:multiLevelType w:val="hybridMultilevel"/>
    <w:tmpl w:val="0358A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35524E7"/>
    <w:multiLevelType w:val="hybridMultilevel"/>
    <w:tmpl w:val="E8EC5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C8357D"/>
    <w:multiLevelType w:val="hybridMultilevel"/>
    <w:tmpl w:val="6C488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C1A74"/>
    <w:multiLevelType w:val="hybridMultilevel"/>
    <w:tmpl w:val="FB0C9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1190"/>
    <w:multiLevelType w:val="hybridMultilevel"/>
    <w:tmpl w:val="FD8221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9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D3FEF"/>
    <w:multiLevelType w:val="hybridMultilevel"/>
    <w:tmpl w:val="2362EB0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44F6676D"/>
    <w:multiLevelType w:val="hybridMultilevel"/>
    <w:tmpl w:val="1F72A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0A278C"/>
    <w:multiLevelType w:val="hybridMultilevel"/>
    <w:tmpl w:val="99F85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F975BB"/>
    <w:multiLevelType w:val="hybridMultilevel"/>
    <w:tmpl w:val="B53C68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2F799F"/>
    <w:multiLevelType w:val="hybridMultilevel"/>
    <w:tmpl w:val="2F22A4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13FDB"/>
    <w:multiLevelType w:val="hybridMultilevel"/>
    <w:tmpl w:val="EA94F1A0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0B2805"/>
    <w:multiLevelType w:val="hybridMultilevel"/>
    <w:tmpl w:val="116009A8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C706A"/>
    <w:multiLevelType w:val="hybridMultilevel"/>
    <w:tmpl w:val="A20672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466AF1"/>
    <w:multiLevelType w:val="hybridMultilevel"/>
    <w:tmpl w:val="F30CDE36"/>
    <w:lvl w:ilvl="0" w:tplc="CF626ED4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Courier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13"/>
  </w:num>
  <w:num w:numId="4">
    <w:abstractNumId w:val="26"/>
  </w:num>
  <w:num w:numId="5">
    <w:abstractNumId w:val="8"/>
  </w:num>
  <w:num w:numId="6">
    <w:abstractNumId w:val="10"/>
  </w:num>
  <w:num w:numId="7">
    <w:abstractNumId w:val="35"/>
  </w:num>
  <w:num w:numId="8">
    <w:abstractNumId w:val="29"/>
  </w:num>
  <w:num w:numId="9">
    <w:abstractNumId w:val="30"/>
  </w:num>
  <w:num w:numId="10">
    <w:abstractNumId w:val="32"/>
  </w:num>
  <w:num w:numId="11">
    <w:abstractNumId w:val="25"/>
  </w:num>
  <w:num w:numId="12">
    <w:abstractNumId w:val="37"/>
  </w:num>
  <w:num w:numId="13">
    <w:abstractNumId w:val="19"/>
  </w:num>
  <w:num w:numId="14">
    <w:abstractNumId w:val="1"/>
  </w:num>
  <w:num w:numId="15">
    <w:abstractNumId w:val="4"/>
  </w:num>
  <w:num w:numId="16">
    <w:abstractNumId w:val="34"/>
  </w:num>
  <w:num w:numId="17">
    <w:abstractNumId w:val="20"/>
  </w:num>
  <w:num w:numId="18">
    <w:abstractNumId w:val="11"/>
  </w:num>
  <w:num w:numId="19">
    <w:abstractNumId w:val="7"/>
  </w:num>
  <w:num w:numId="20">
    <w:abstractNumId w:val="22"/>
  </w:num>
  <w:num w:numId="21">
    <w:abstractNumId w:val="27"/>
  </w:num>
  <w:num w:numId="22">
    <w:abstractNumId w:val="17"/>
  </w:num>
  <w:num w:numId="23">
    <w:abstractNumId w:val="38"/>
  </w:num>
  <w:num w:numId="24">
    <w:abstractNumId w:val="28"/>
  </w:num>
  <w:num w:numId="25">
    <w:abstractNumId w:val="31"/>
  </w:num>
  <w:num w:numId="26">
    <w:abstractNumId w:val="0"/>
  </w:num>
  <w:num w:numId="27">
    <w:abstractNumId w:val="14"/>
  </w:num>
  <w:num w:numId="28">
    <w:abstractNumId w:val="5"/>
  </w:num>
  <w:num w:numId="29">
    <w:abstractNumId w:val="6"/>
  </w:num>
  <w:num w:numId="30">
    <w:abstractNumId w:val="9"/>
  </w:num>
  <w:num w:numId="31">
    <w:abstractNumId w:val="3"/>
  </w:num>
  <w:num w:numId="32">
    <w:abstractNumId w:val="39"/>
  </w:num>
  <w:num w:numId="33">
    <w:abstractNumId w:val="33"/>
  </w:num>
  <w:num w:numId="34">
    <w:abstractNumId w:val="36"/>
  </w:num>
  <w:num w:numId="35">
    <w:abstractNumId w:val="21"/>
  </w:num>
  <w:num w:numId="36">
    <w:abstractNumId w:val="18"/>
  </w:num>
  <w:num w:numId="37">
    <w:abstractNumId w:val="16"/>
  </w:num>
  <w:num w:numId="38">
    <w:abstractNumId w:val="12"/>
  </w:num>
  <w:num w:numId="3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4"/>
  </w:num>
  <w:num w:numId="4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0F7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30DB"/>
    <w:rsid w:val="0004322B"/>
    <w:rsid w:val="00044BB5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775D"/>
    <w:rsid w:val="0006080D"/>
    <w:rsid w:val="00060A93"/>
    <w:rsid w:val="00061789"/>
    <w:rsid w:val="00063550"/>
    <w:rsid w:val="000645C6"/>
    <w:rsid w:val="000648FB"/>
    <w:rsid w:val="00065B1B"/>
    <w:rsid w:val="00070856"/>
    <w:rsid w:val="000723DB"/>
    <w:rsid w:val="0007293D"/>
    <w:rsid w:val="00072E74"/>
    <w:rsid w:val="0007300C"/>
    <w:rsid w:val="0007384B"/>
    <w:rsid w:val="00074394"/>
    <w:rsid w:val="0007704A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D29"/>
    <w:rsid w:val="000B50FA"/>
    <w:rsid w:val="000B70C1"/>
    <w:rsid w:val="000C03F7"/>
    <w:rsid w:val="000C19A3"/>
    <w:rsid w:val="000C327D"/>
    <w:rsid w:val="000C3E0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5CB7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1018"/>
    <w:rsid w:val="00111FE2"/>
    <w:rsid w:val="00112317"/>
    <w:rsid w:val="00113A4F"/>
    <w:rsid w:val="001160AD"/>
    <w:rsid w:val="00121D2F"/>
    <w:rsid w:val="00122933"/>
    <w:rsid w:val="00122ABF"/>
    <w:rsid w:val="0012310A"/>
    <w:rsid w:val="001232C4"/>
    <w:rsid w:val="0012421E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26A2"/>
    <w:rsid w:val="00153BB6"/>
    <w:rsid w:val="0015460D"/>
    <w:rsid w:val="00154F0E"/>
    <w:rsid w:val="001550D3"/>
    <w:rsid w:val="0015566B"/>
    <w:rsid w:val="001567A7"/>
    <w:rsid w:val="00156CB6"/>
    <w:rsid w:val="001609CC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83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565C"/>
    <w:rsid w:val="001F566C"/>
    <w:rsid w:val="001F631E"/>
    <w:rsid w:val="001F688B"/>
    <w:rsid w:val="001F7025"/>
    <w:rsid w:val="001F7C02"/>
    <w:rsid w:val="00200290"/>
    <w:rsid w:val="00201307"/>
    <w:rsid w:val="002013FB"/>
    <w:rsid w:val="0020147D"/>
    <w:rsid w:val="002014DA"/>
    <w:rsid w:val="002015DC"/>
    <w:rsid w:val="002015DE"/>
    <w:rsid w:val="00201C4F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195"/>
    <w:rsid w:val="00225765"/>
    <w:rsid w:val="00226432"/>
    <w:rsid w:val="00226BD9"/>
    <w:rsid w:val="0022773C"/>
    <w:rsid w:val="00230889"/>
    <w:rsid w:val="00231FC4"/>
    <w:rsid w:val="00231FD7"/>
    <w:rsid w:val="00232025"/>
    <w:rsid w:val="0023232D"/>
    <w:rsid w:val="0023246C"/>
    <w:rsid w:val="0023257C"/>
    <w:rsid w:val="00234610"/>
    <w:rsid w:val="0023551F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1C8F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2BEA"/>
    <w:rsid w:val="002941A9"/>
    <w:rsid w:val="00294589"/>
    <w:rsid w:val="002945E4"/>
    <w:rsid w:val="00294E5F"/>
    <w:rsid w:val="00295FEB"/>
    <w:rsid w:val="002968FA"/>
    <w:rsid w:val="00296C04"/>
    <w:rsid w:val="00297C64"/>
    <w:rsid w:val="002A0580"/>
    <w:rsid w:val="002A05E5"/>
    <w:rsid w:val="002A1696"/>
    <w:rsid w:val="002A3711"/>
    <w:rsid w:val="002A444F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47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825"/>
    <w:rsid w:val="00311D79"/>
    <w:rsid w:val="00311DEB"/>
    <w:rsid w:val="00313741"/>
    <w:rsid w:val="0031395F"/>
    <w:rsid w:val="003151B9"/>
    <w:rsid w:val="00315283"/>
    <w:rsid w:val="003154DC"/>
    <w:rsid w:val="003155FB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56ED"/>
    <w:rsid w:val="00336D22"/>
    <w:rsid w:val="00336E74"/>
    <w:rsid w:val="00337CD2"/>
    <w:rsid w:val="0034047E"/>
    <w:rsid w:val="00340630"/>
    <w:rsid w:val="00340A2C"/>
    <w:rsid w:val="0034159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C2"/>
    <w:rsid w:val="00351C87"/>
    <w:rsid w:val="00351CD8"/>
    <w:rsid w:val="003522AD"/>
    <w:rsid w:val="003527C6"/>
    <w:rsid w:val="00352A2B"/>
    <w:rsid w:val="00352B6D"/>
    <w:rsid w:val="00352DB1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66A66"/>
    <w:rsid w:val="003710F1"/>
    <w:rsid w:val="0037129B"/>
    <w:rsid w:val="00371FB5"/>
    <w:rsid w:val="00372C99"/>
    <w:rsid w:val="00372D83"/>
    <w:rsid w:val="00372EE8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4604"/>
    <w:rsid w:val="00385A96"/>
    <w:rsid w:val="00385BA7"/>
    <w:rsid w:val="00385F14"/>
    <w:rsid w:val="003860DD"/>
    <w:rsid w:val="003868F5"/>
    <w:rsid w:val="003873C7"/>
    <w:rsid w:val="00387DA4"/>
    <w:rsid w:val="00390A4E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4F70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61E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3AFF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3829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4EA2"/>
    <w:rsid w:val="004360E6"/>
    <w:rsid w:val="00436D60"/>
    <w:rsid w:val="0043702B"/>
    <w:rsid w:val="00437863"/>
    <w:rsid w:val="00437954"/>
    <w:rsid w:val="004403FD"/>
    <w:rsid w:val="00440530"/>
    <w:rsid w:val="00440939"/>
    <w:rsid w:val="00440B36"/>
    <w:rsid w:val="00440F8D"/>
    <w:rsid w:val="004415FC"/>
    <w:rsid w:val="0044178A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1C3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521"/>
    <w:rsid w:val="004674AE"/>
    <w:rsid w:val="0046762C"/>
    <w:rsid w:val="00467681"/>
    <w:rsid w:val="0047104F"/>
    <w:rsid w:val="004714CE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7AFC"/>
    <w:rsid w:val="00497C23"/>
    <w:rsid w:val="004A0702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AB5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7344"/>
    <w:rsid w:val="004C75BF"/>
    <w:rsid w:val="004C7C38"/>
    <w:rsid w:val="004C7DA4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210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1E13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0938"/>
    <w:rsid w:val="00562032"/>
    <w:rsid w:val="005622D5"/>
    <w:rsid w:val="005624C2"/>
    <w:rsid w:val="00562694"/>
    <w:rsid w:val="00565E1E"/>
    <w:rsid w:val="0056645B"/>
    <w:rsid w:val="00566FBA"/>
    <w:rsid w:val="005672BF"/>
    <w:rsid w:val="00567F08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DD0"/>
    <w:rsid w:val="005922D2"/>
    <w:rsid w:val="00592A1E"/>
    <w:rsid w:val="00592B8E"/>
    <w:rsid w:val="00592D57"/>
    <w:rsid w:val="005932B7"/>
    <w:rsid w:val="00593887"/>
    <w:rsid w:val="00593E37"/>
    <w:rsid w:val="0059617E"/>
    <w:rsid w:val="005969CF"/>
    <w:rsid w:val="00597F29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B1014"/>
    <w:rsid w:val="005B111D"/>
    <w:rsid w:val="005B2092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169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2C0C"/>
    <w:rsid w:val="005F3383"/>
    <w:rsid w:val="005F3DFF"/>
    <w:rsid w:val="005F42B8"/>
    <w:rsid w:val="005F4DBA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5654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52CE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3416"/>
    <w:rsid w:val="006C4ECD"/>
    <w:rsid w:val="006C60BF"/>
    <w:rsid w:val="006C685C"/>
    <w:rsid w:val="006C6D44"/>
    <w:rsid w:val="006C6DF4"/>
    <w:rsid w:val="006C6FEC"/>
    <w:rsid w:val="006C70EF"/>
    <w:rsid w:val="006D07A5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4872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39FF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161"/>
    <w:rsid w:val="007312C6"/>
    <w:rsid w:val="007314B6"/>
    <w:rsid w:val="007315AA"/>
    <w:rsid w:val="007325E8"/>
    <w:rsid w:val="00732DF2"/>
    <w:rsid w:val="00732DF9"/>
    <w:rsid w:val="00733AB1"/>
    <w:rsid w:val="00733D38"/>
    <w:rsid w:val="00734494"/>
    <w:rsid w:val="00734AF6"/>
    <w:rsid w:val="007368C0"/>
    <w:rsid w:val="00737CA6"/>
    <w:rsid w:val="00740D91"/>
    <w:rsid w:val="007418DE"/>
    <w:rsid w:val="0074527D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9B7"/>
    <w:rsid w:val="007652F5"/>
    <w:rsid w:val="0076696F"/>
    <w:rsid w:val="00766EB2"/>
    <w:rsid w:val="00767172"/>
    <w:rsid w:val="00767963"/>
    <w:rsid w:val="00767AC2"/>
    <w:rsid w:val="00770447"/>
    <w:rsid w:val="00770874"/>
    <w:rsid w:val="00770947"/>
    <w:rsid w:val="00770DE9"/>
    <w:rsid w:val="00773420"/>
    <w:rsid w:val="00773EAB"/>
    <w:rsid w:val="0077469A"/>
    <w:rsid w:val="00774719"/>
    <w:rsid w:val="00774F96"/>
    <w:rsid w:val="0077555D"/>
    <w:rsid w:val="00775CA8"/>
    <w:rsid w:val="00776495"/>
    <w:rsid w:val="0077674E"/>
    <w:rsid w:val="00777340"/>
    <w:rsid w:val="00777565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681"/>
    <w:rsid w:val="007A08C3"/>
    <w:rsid w:val="007A0AF1"/>
    <w:rsid w:val="007A2B37"/>
    <w:rsid w:val="007A4AC3"/>
    <w:rsid w:val="007A6C1D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908"/>
    <w:rsid w:val="007D1F01"/>
    <w:rsid w:val="007D2298"/>
    <w:rsid w:val="007D3877"/>
    <w:rsid w:val="007D3E18"/>
    <w:rsid w:val="007D40BB"/>
    <w:rsid w:val="007D4821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0C42"/>
    <w:rsid w:val="008312D8"/>
    <w:rsid w:val="00831826"/>
    <w:rsid w:val="00833EF7"/>
    <w:rsid w:val="008340FC"/>
    <w:rsid w:val="008357D5"/>
    <w:rsid w:val="0084072F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CDD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1AA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D73FA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A54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3CB4"/>
    <w:rsid w:val="009141A2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8F9"/>
    <w:rsid w:val="00946983"/>
    <w:rsid w:val="0094795B"/>
    <w:rsid w:val="00951033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145"/>
    <w:rsid w:val="0097150D"/>
    <w:rsid w:val="0097165B"/>
    <w:rsid w:val="00973C8B"/>
    <w:rsid w:val="0097407B"/>
    <w:rsid w:val="0097427C"/>
    <w:rsid w:val="00974387"/>
    <w:rsid w:val="0097448C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1B"/>
    <w:rsid w:val="009856E3"/>
    <w:rsid w:val="00985C49"/>
    <w:rsid w:val="009871EF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953"/>
    <w:rsid w:val="009A2EDA"/>
    <w:rsid w:val="009A36CA"/>
    <w:rsid w:val="009A3E54"/>
    <w:rsid w:val="009A427D"/>
    <w:rsid w:val="009A4CB8"/>
    <w:rsid w:val="009A4D1C"/>
    <w:rsid w:val="009A7419"/>
    <w:rsid w:val="009A78D8"/>
    <w:rsid w:val="009B04A3"/>
    <w:rsid w:val="009B11DD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2F51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27174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8B4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196C"/>
    <w:rsid w:val="00A92854"/>
    <w:rsid w:val="00A92D8C"/>
    <w:rsid w:val="00A935EB"/>
    <w:rsid w:val="00A93975"/>
    <w:rsid w:val="00A94D24"/>
    <w:rsid w:val="00A94D82"/>
    <w:rsid w:val="00A95DC7"/>
    <w:rsid w:val="00A97F1F"/>
    <w:rsid w:val="00AA04B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1677"/>
    <w:rsid w:val="00AF3083"/>
    <w:rsid w:val="00AF3641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5A9D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314E"/>
    <w:rsid w:val="00B77284"/>
    <w:rsid w:val="00B80157"/>
    <w:rsid w:val="00B81656"/>
    <w:rsid w:val="00B821FE"/>
    <w:rsid w:val="00B833CC"/>
    <w:rsid w:val="00B83ADB"/>
    <w:rsid w:val="00B83D7C"/>
    <w:rsid w:val="00B85D5E"/>
    <w:rsid w:val="00B86252"/>
    <w:rsid w:val="00B87FC3"/>
    <w:rsid w:val="00B90CF7"/>
    <w:rsid w:val="00B90E90"/>
    <w:rsid w:val="00B90F00"/>
    <w:rsid w:val="00B91C00"/>
    <w:rsid w:val="00B9224E"/>
    <w:rsid w:val="00B923A2"/>
    <w:rsid w:val="00B9270B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1589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003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33"/>
    <w:rsid w:val="00C1374A"/>
    <w:rsid w:val="00C1412B"/>
    <w:rsid w:val="00C14725"/>
    <w:rsid w:val="00C152DF"/>
    <w:rsid w:val="00C16167"/>
    <w:rsid w:val="00C20D9D"/>
    <w:rsid w:val="00C24D7C"/>
    <w:rsid w:val="00C25B17"/>
    <w:rsid w:val="00C264A1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739"/>
    <w:rsid w:val="00C52BCE"/>
    <w:rsid w:val="00C535AD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1B4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412F"/>
    <w:rsid w:val="00CD528E"/>
    <w:rsid w:val="00CD6093"/>
    <w:rsid w:val="00CD61C6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E7999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4D14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16E6A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4ABF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2CAD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5D9"/>
    <w:rsid w:val="00D75199"/>
    <w:rsid w:val="00D75F0B"/>
    <w:rsid w:val="00D7658F"/>
    <w:rsid w:val="00D769B5"/>
    <w:rsid w:val="00D769CF"/>
    <w:rsid w:val="00D76F59"/>
    <w:rsid w:val="00D771B8"/>
    <w:rsid w:val="00D77A5C"/>
    <w:rsid w:val="00D803AD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3130"/>
    <w:rsid w:val="00D93BFE"/>
    <w:rsid w:val="00D93D50"/>
    <w:rsid w:val="00D9411F"/>
    <w:rsid w:val="00D946A4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5251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1658"/>
    <w:rsid w:val="00E1207B"/>
    <w:rsid w:val="00E1279D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269F3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0D4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F07"/>
    <w:rsid w:val="00E500F6"/>
    <w:rsid w:val="00E50483"/>
    <w:rsid w:val="00E50A52"/>
    <w:rsid w:val="00E50BF0"/>
    <w:rsid w:val="00E50E9A"/>
    <w:rsid w:val="00E51B09"/>
    <w:rsid w:val="00E53007"/>
    <w:rsid w:val="00E5321A"/>
    <w:rsid w:val="00E53507"/>
    <w:rsid w:val="00E53706"/>
    <w:rsid w:val="00E53E41"/>
    <w:rsid w:val="00E54703"/>
    <w:rsid w:val="00E55285"/>
    <w:rsid w:val="00E55BEA"/>
    <w:rsid w:val="00E55DF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406"/>
    <w:rsid w:val="00E755D4"/>
    <w:rsid w:val="00E758AF"/>
    <w:rsid w:val="00E75D2F"/>
    <w:rsid w:val="00E75EF7"/>
    <w:rsid w:val="00E801AF"/>
    <w:rsid w:val="00E817D8"/>
    <w:rsid w:val="00E8214F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E04"/>
    <w:rsid w:val="00E9256E"/>
    <w:rsid w:val="00E9483D"/>
    <w:rsid w:val="00E94F0A"/>
    <w:rsid w:val="00E951F3"/>
    <w:rsid w:val="00E95288"/>
    <w:rsid w:val="00E95A4F"/>
    <w:rsid w:val="00E969E0"/>
    <w:rsid w:val="00E97108"/>
    <w:rsid w:val="00EA0390"/>
    <w:rsid w:val="00EA08C4"/>
    <w:rsid w:val="00EA0F31"/>
    <w:rsid w:val="00EA2BCE"/>
    <w:rsid w:val="00EA2ED3"/>
    <w:rsid w:val="00EA2FA4"/>
    <w:rsid w:val="00EA302E"/>
    <w:rsid w:val="00EA30FB"/>
    <w:rsid w:val="00EA3104"/>
    <w:rsid w:val="00EA3A6A"/>
    <w:rsid w:val="00EA3F1C"/>
    <w:rsid w:val="00EA4971"/>
    <w:rsid w:val="00EA5972"/>
    <w:rsid w:val="00EA5C3F"/>
    <w:rsid w:val="00EA697E"/>
    <w:rsid w:val="00EA6980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6C7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58E4"/>
    <w:rsid w:val="00F06128"/>
    <w:rsid w:val="00F0621B"/>
    <w:rsid w:val="00F06D75"/>
    <w:rsid w:val="00F071D7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483B"/>
    <w:rsid w:val="00F26BB1"/>
    <w:rsid w:val="00F2737E"/>
    <w:rsid w:val="00F3072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4BA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5A9E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F7C"/>
    <w:rsid w:val="00FB2FE2"/>
    <w:rsid w:val="00FB304E"/>
    <w:rsid w:val="00FB37C0"/>
    <w:rsid w:val="00FB42CF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82A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D52"/>
    <w:rsid w:val="00FD390E"/>
    <w:rsid w:val="00FD396E"/>
    <w:rsid w:val="00FD3B9F"/>
    <w:rsid w:val="00FD436D"/>
    <w:rsid w:val="00FD4950"/>
    <w:rsid w:val="00FD4D22"/>
    <w:rsid w:val="00FD5826"/>
    <w:rsid w:val="00FD592F"/>
    <w:rsid w:val="00FD67AC"/>
    <w:rsid w:val="00FD6BEC"/>
    <w:rsid w:val="00FD6EA0"/>
    <w:rsid w:val="00FD72F7"/>
    <w:rsid w:val="00FD7E92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3D5E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40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8.bin"/><Relationship Id="rId7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3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7.bin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41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4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9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42.bin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08CC2-3A27-4C11-B277-4906AEFCF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On Number of subcarriers per PRB for NR</vt:lpstr>
      <vt:lpstr>On Number of subcarriers per PRB for NR</vt:lpstr>
    </vt:vector>
  </TitlesOfParts>
  <LinksUpToDate>false</LinksUpToDate>
  <CharactersWithSpaces>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Number of subcarriers per PRB for NR</dc:title>
  <dc:creator/>
  <cp:lastModifiedBy/>
  <cp:revision>1</cp:revision>
  <dcterms:created xsi:type="dcterms:W3CDTF">2016-11-01T14:14:00Z</dcterms:created>
  <dcterms:modified xsi:type="dcterms:W3CDTF">2016-11-18T04:24:00Z</dcterms:modified>
</cp:coreProperties>
</file>